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377C0" w14:textId="73EE9456" w:rsidR="00833442" w:rsidRDefault="006131DD">
      <w:r>
        <w:t xml:space="preserve">Gaps in opportunity </w:t>
      </w:r>
      <w:r w:rsidRPr="005A588C">
        <w:rPr>
          <w:noProof/>
        </w:rPr>
        <w:t>sets</w:t>
      </w:r>
      <w:r>
        <w:t xml:space="preserve"> available to rural youth vis a vis their urban counterparts</w:t>
      </w:r>
    </w:p>
    <w:p w14:paraId="22BD964A" w14:textId="150AF7BF" w:rsidR="006131DD" w:rsidRDefault="006131DD">
      <w:r>
        <w:t>A synthesis</w:t>
      </w:r>
    </w:p>
    <w:p w14:paraId="60CF19A0" w14:textId="4FF4363B" w:rsidR="006131DD" w:rsidRDefault="006131DD">
      <w:r>
        <w:t xml:space="preserve">SJ Phansalkar and Minaj </w:t>
      </w:r>
      <w:proofErr w:type="spellStart"/>
      <w:r>
        <w:t>Ranjita</w:t>
      </w:r>
      <w:proofErr w:type="spellEnd"/>
      <w:r>
        <w:t xml:space="preserve"> Singh</w:t>
      </w:r>
    </w:p>
    <w:p w14:paraId="66D15D35" w14:textId="08F1B584" w:rsidR="006131DD" w:rsidRDefault="006131DD"/>
    <w:p w14:paraId="3BCD34B6" w14:textId="03ADE5A7" w:rsidR="006131DD" w:rsidRPr="006131DD" w:rsidRDefault="006131DD" w:rsidP="006131DD">
      <w:pPr>
        <w:pStyle w:val="ListParagraph"/>
        <w:numPr>
          <w:ilvl w:val="0"/>
          <w:numId w:val="1"/>
        </w:numPr>
        <w:rPr>
          <w:b/>
        </w:rPr>
      </w:pPr>
      <w:r w:rsidRPr="006131DD">
        <w:rPr>
          <w:b/>
        </w:rPr>
        <w:t>Introduction</w:t>
      </w:r>
    </w:p>
    <w:p w14:paraId="1581A401" w14:textId="77777777" w:rsidR="006D5A78" w:rsidRDefault="006D5A78"/>
    <w:p w14:paraId="50B1B63F" w14:textId="17ABC00E" w:rsidR="009E2DB2" w:rsidRDefault="00CC3F92">
      <w:r w:rsidRPr="00CC3F92">
        <w:rPr>
          <w:noProof/>
        </w:rPr>
        <w:t>A</w:t>
      </w:r>
      <w:r>
        <w:rPr>
          <w:noProof/>
        </w:rPr>
        <w:t xml:space="preserve"> p</w:t>
      </w:r>
      <w:r w:rsidR="006D5A78" w:rsidRPr="00CC3F92">
        <w:rPr>
          <w:noProof/>
        </w:rPr>
        <w:t>opular</w:t>
      </w:r>
      <w:r w:rsidR="006D5A78">
        <w:t xml:space="preserve"> perception is that significant proportion of households in rural areas who aspire for a “better” life for themselves or more pertinently for their </w:t>
      </w:r>
      <w:r w:rsidR="006D5A78" w:rsidRPr="00CC3F92">
        <w:rPr>
          <w:noProof/>
        </w:rPr>
        <w:t>children</w:t>
      </w:r>
      <w:r w:rsidR="006D5A78">
        <w:t xml:space="preserve"> and can afford to do so, move their residence to urban areas. This perception is based on and tends to reinforce the sense that the set of opportunities for </w:t>
      </w:r>
      <w:r>
        <w:t xml:space="preserve">a </w:t>
      </w:r>
      <w:r w:rsidR="006D5A78" w:rsidRPr="00CC3F92">
        <w:rPr>
          <w:noProof/>
        </w:rPr>
        <w:t>better</w:t>
      </w:r>
      <w:r w:rsidR="006D5A78">
        <w:t xml:space="preserve"> </w:t>
      </w:r>
      <w:r w:rsidR="006D5A78" w:rsidRPr="00CC3F92">
        <w:rPr>
          <w:noProof/>
        </w:rPr>
        <w:t>lifetime</w:t>
      </w:r>
      <w:r w:rsidR="006D5A78">
        <w:t xml:space="preserve"> and inter-generational progression exist in urban areas. When this phenomenon repeats itself on a large, virtually a</w:t>
      </w:r>
      <w:r w:rsidR="005A588C">
        <w:t>l</w:t>
      </w:r>
      <w:r w:rsidR="006D5A78">
        <w:t xml:space="preserve">l pervasive manner covering all regions and communities, two consequences follow. The first consequence is the increasing trend of </w:t>
      </w:r>
      <w:r w:rsidR="006D5A78" w:rsidRPr="00581EC2">
        <w:rPr>
          <w:noProof/>
        </w:rPr>
        <w:t>urbanization</w:t>
      </w:r>
      <w:r w:rsidR="006D5A78">
        <w:t xml:space="preserve">. The second is an insidious creation division of the society in two societies. The motivation for this study came from reading portions of the book “One Country-Two </w:t>
      </w:r>
      <w:r w:rsidR="006D5A78" w:rsidRPr="00581EC2">
        <w:rPr>
          <w:noProof/>
        </w:rPr>
        <w:t>societies</w:t>
      </w:r>
      <w:r w:rsidR="006D5A78">
        <w:t>” (Whyte, 2010)</w:t>
      </w:r>
      <w:r w:rsidR="006D5A78">
        <w:rPr>
          <w:rStyle w:val="FootnoteReference"/>
        </w:rPr>
        <w:footnoteReference w:id="1"/>
      </w:r>
      <w:r w:rsidR="009E2DB2">
        <w:t>; which focuses on inequality of opportunities in rural and urban China.</w:t>
      </w:r>
      <w:r w:rsidR="005A588C">
        <w:t xml:space="preserve"> I</w:t>
      </w:r>
      <w:r w:rsidR="009E2DB2" w:rsidRPr="005A588C">
        <w:rPr>
          <w:noProof/>
        </w:rPr>
        <w:t>ncreasing</w:t>
      </w:r>
      <w:r w:rsidR="009E2DB2">
        <w:t xml:space="preserve"> </w:t>
      </w:r>
      <w:r w:rsidR="009E2DB2" w:rsidRPr="00581EC2">
        <w:rPr>
          <w:noProof/>
        </w:rPr>
        <w:t>urbanization</w:t>
      </w:r>
      <w:r w:rsidR="009E2DB2">
        <w:t>; prompted presumably by the perception of sharp inequality in opportunities available to individuals; is a reality in India as well. We</w:t>
      </w:r>
      <w:r w:rsidR="005A588C">
        <w:t>, therefore,</w:t>
      </w:r>
      <w:r w:rsidR="009E2DB2">
        <w:t xml:space="preserve"> wished to explore whether there</w:t>
      </w:r>
      <w:r w:rsidR="005A588C">
        <w:t>, in fact,</w:t>
      </w:r>
      <w:r w:rsidR="009E2DB2">
        <w:t xml:space="preserve"> is a cleavage in opportunity sets available to rural youth vis a vis their urban counterparts. </w:t>
      </w:r>
    </w:p>
    <w:p w14:paraId="2DFCADD7" w14:textId="6D5543A7" w:rsidR="006D5A78" w:rsidRDefault="009E2DB2">
      <w:r>
        <w:t xml:space="preserve">Five </w:t>
      </w:r>
      <w:r w:rsidRPr="00581EC2">
        <w:rPr>
          <w:noProof/>
        </w:rPr>
        <w:t>fieldwork based</w:t>
      </w:r>
      <w:r>
        <w:t xml:space="preserve"> studies </w:t>
      </w:r>
      <w:r w:rsidRPr="00581EC2">
        <w:rPr>
          <w:noProof/>
        </w:rPr>
        <w:t>were conducted</w:t>
      </w:r>
      <w:r>
        <w:t xml:space="preserve"> in this exploration. These are </w:t>
      </w:r>
      <w:r w:rsidR="00581EC2">
        <w:t xml:space="preserve">two studies conducted in Mandla and </w:t>
      </w:r>
      <w:r w:rsidR="00581EC2" w:rsidRPr="00581EC2">
        <w:rPr>
          <w:noProof/>
        </w:rPr>
        <w:t>in R</w:t>
      </w:r>
      <w:r w:rsidR="00581EC2">
        <w:rPr>
          <w:noProof/>
        </w:rPr>
        <w:t>ourkela</w:t>
      </w:r>
      <w:r w:rsidR="00581EC2" w:rsidRPr="00581EC2">
        <w:rPr>
          <w:noProof/>
        </w:rPr>
        <w:t xml:space="preserve"> by</w:t>
      </w:r>
      <w:r w:rsidR="00581EC2">
        <w:t xml:space="preserve"> Minaj Singh, </w:t>
      </w:r>
      <w:r>
        <w:t xml:space="preserve">Londhe, 2018; Jaipal Singh 2018 and </w:t>
      </w:r>
      <w:proofErr w:type="spellStart"/>
      <w:r>
        <w:t>K</w:t>
      </w:r>
      <w:r w:rsidR="00AA7F75">
        <w:t>a</w:t>
      </w:r>
      <w:r>
        <w:t>t</w:t>
      </w:r>
      <w:r w:rsidR="00AA7F75">
        <w:t>a</w:t>
      </w:r>
      <w:r>
        <w:t>k</w:t>
      </w:r>
      <w:r w:rsidR="00AA7F75">
        <w:t>ee</w:t>
      </w:r>
      <w:proofErr w:type="spellEnd"/>
      <w:r>
        <w:t xml:space="preserve"> 2018. This paper is an attempt to make a synthesis of these studies. While preparing this synthesis, we have added our interpretation of what constitute “opportunities” as well as what tends to shape these opportunities.  </w:t>
      </w:r>
      <w:r w:rsidR="006D5A78">
        <w:t xml:space="preserve"> </w:t>
      </w:r>
      <w:r w:rsidR="006131DD">
        <w:tab/>
      </w:r>
    </w:p>
    <w:p w14:paraId="323FB664" w14:textId="77777777" w:rsidR="006131DD" w:rsidRDefault="006131DD"/>
    <w:p w14:paraId="104A05A1" w14:textId="646E9B2F" w:rsidR="006131DD" w:rsidRDefault="006131DD" w:rsidP="006131DD">
      <w:pPr>
        <w:pStyle w:val="ListParagraph"/>
        <w:numPr>
          <w:ilvl w:val="0"/>
          <w:numId w:val="1"/>
        </w:numPr>
        <w:rPr>
          <w:b/>
        </w:rPr>
      </w:pPr>
      <w:r w:rsidRPr="006131DD">
        <w:rPr>
          <w:b/>
        </w:rPr>
        <w:t>Conceptualising opportunities</w:t>
      </w:r>
    </w:p>
    <w:p w14:paraId="324F8284" w14:textId="4B8F9DAF" w:rsidR="00C4355B" w:rsidRDefault="00C4355B" w:rsidP="009E2DB2">
      <w:r w:rsidRPr="00C4355B">
        <w:t>Conceptualizing rural and urban</w:t>
      </w:r>
      <w:r>
        <w:t>:</w:t>
      </w:r>
    </w:p>
    <w:p w14:paraId="3E3BA913" w14:textId="77777777" w:rsidR="00581EC2" w:rsidRDefault="00C4355B" w:rsidP="009E2DB2">
      <w:pPr>
        <w:rPr>
          <w:noProof/>
        </w:rPr>
      </w:pPr>
      <w:r>
        <w:t>Census of India defines a habitation as urban if it has a population of over 5000 persons</w:t>
      </w:r>
      <w:r w:rsidR="00581EC2">
        <w:t xml:space="preserve"> </w:t>
      </w:r>
      <w:r w:rsidR="00581EC2" w:rsidRPr="00581EC2">
        <w:rPr>
          <w:noProof/>
        </w:rPr>
        <w:t xml:space="preserve">and </w:t>
      </w:r>
      <w:r w:rsidRPr="00581EC2">
        <w:rPr>
          <w:noProof/>
        </w:rPr>
        <w:t>population</w:t>
      </w:r>
      <w:r>
        <w:t xml:space="preserve"> density of over 400 persons per square kilometre and if 75% of the male workers there are engaged in non-agricultural occupations. (Census of India, 2011). Rural is the residual category. There is an undeniable element of confusing fuzziness here. For </w:t>
      </w:r>
      <w:r w:rsidRPr="00581EC2">
        <w:rPr>
          <w:noProof/>
        </w:rPr>
        <w:t>instance</w:t>
      </w:r>
      <w:r w:rsidR="00581EC2">
        <w:rPr>
          <w:noProof/>
        </w:rPr>
        <w:t>,</w:t>
      </w:r>
      <w:r>
        <w:t xml:space="preserve"> in most of the districts in Eastern UP and North Bihar, the first two criteria would be met but not the third. And yet they are considered </w:t>
      </w:r>
      <w:r w:rsidR="00581EC2">
        <w:t xml:space="preserve">the </w:t>
      </w:r>
      <w:r w:rsidRPr="00581EC2">
        <w:rPr>
          <w:noProof/>
        </w:rPr>
        <w:t>epitome</w:t>
      </w:r>
      <w:r>
        <w:t xml:space="preserve"> of rurality</w:t>
      </w:r>
      <w:r w:rsidRPr="00581EC2">
        <w:rPr>
          <w:noProof/>
        </w:rPr>
        <w:t>.</w:t>
      </w:r>
    </w:p>
    <w:p w14:paraId="5FA130CB" w14:textId="0E2FD6F1" w:rsidR="00C4355B" w:rsidRPr="00C4355B" w:rsidRDefault="00C4355B" w:rsidP="009E2DB2">
      <w:r w:rsidRPr="00581EC2">
        <w:rPr>
          <w:noProof/>
        </w:rPr>
        <w:t>On the other</w:t>
      </w:r>
      <w:r>
        <w:t xml:space="preserve"> </w:t>
      </w:r>
      <w:r w:rsidRPr="00581EC2">
        <w:rPr>
          <w:noProof/>
        </w:rPr>
        <w:t>hand</w:t>
      </w:r>
      <w:r w:rsidR="00581EC2">
        <w:rPr>
          <w:noProof/>
        </w:rPr>
        <w:t>,</w:t>
      </w:r>
      <w:r>
        <w:t xml:space="preserve"> spaced out and elite </w:t>
      </w:r>
      <w:proofErr w:type="spellStart"/>
      <w:r>
        <w:t>Lavasa</w:t>
      </w:r>
      <w:proofErr w:type="spellEnd"/>
      <w:r>
        <w:t xml:space="preserve"> would perhaps not meet the first two criteria</w:t>
      </w:r>
      <w:r w:rsidR="00581EC2">
        <w:t>,</w:t>
      </w:r>
      <w:r>
        <w:t xml:space="preserve"> </w:t>
      </w:r>
      <w:r w:rsidRPr="00581EC2">
        <w:rPr>
          <w:noProof/>
        </w:rPr>
        <w:t>and</w:t>
      </w:r>
      <w:r>
        <w:t xml:space="preserve"> yet it is an extension of urban luxury! </w:t>
      </w:r>
      <w:r w:rsidR="00581EC2">
        <w:t xml:space="preserve"> </w:t>
      </w:r>
      <w:r>
        <w:t xml:space="preserve">This fuzziness is a continuation of the way “rural” is defined the world over. Hence for our purpose suffice it to say that the rural locations were considered to be what we normally in common parlance take to be villages and urban areas as what we normally take to be towns; usually governed by Nagar Panchayat or above. We also note that the attributes of </w:t>
      </w:r>
      <w:r>
        <w:lastRenderedPageBreak/>
        <w:t xml:space="preserve">vibrancy and dynamism differ widely across towns and urban habitations just as the extent of “rurality” differs across villages. </w:t>
      </w:r>
    </w:p>
    <w:p w14:paraId="050049A0" w14:textId="77777777" w:rsidR="00B52E8E" w:rsidRPr="009E2DB2" w:rsidRDefault="00B52E8E" w:rsidP="009E2DB2"/>
    <w:p w14:paraId="3F832B6A" w14:textId="5A03651C" w:rsidR="006131DD" w:rsidRDefault="002D191E">
      <w:r>
        <w:t xml:space="preserve">Life progression a resultant of </w:t>
      </w:r>
      <w:r w:rsidR="006131DD">
        <w:t xml:space="preserve">Aspiration + opportunities + efforts </w:t>
      </w:r>
    </w:p>
    <w:p w14:paraId="31863EEE" w14:textId="616A6E55" w:rsidR="006E30E2" w:rsidRDefault="002D191E">
      <w:r>
        <w:t xml:space="preserve">Life progression is a summative movement from </w:t>
      </w:r>
      <w:r w:rsidR="00D11829" w:rsidRPr="00581EC2">
        <w:rPr>
          <w:noProof/>
        </w:rPr>
        <w:t>one</w:t>
      </w:r>
      <w:r w:rsidR="00D11829">
        <w:t xml:space="preserve"> type of </w:t>
      </w:r>
      <w:r>
        <w:t xml:space="preserve">life situation to another. A superior life situation typically comprises more of the following: higher disposable income, better living conditions, easier access amenities such as educational institutions, </w:t>
      </w:r>
      <w:r w:rsidRPr="00581EC2">
        <w:rPr>
          <w:noProof/>
        </w:rPr>
        <w:t>healthcare</w:t>
      </w:r>
      <w:r>
        <w:t xml:space="preserve"> facilities, electricity supply, these days better data connectivity, drinking water and sanitation, means of communication and a cultural ethos that permits articulation, participation and greater personal fulfilment.</w:t>
      </w:r>
      <w:r w:rsidR="00267F94">
        <w:t xml:space="preserve"> Economists have tended to assume income by itself as being a strong indicator of life situation as also a strong influence on other parameters we have suggested above. In consequence, significant scholarly literature on measuring levels of income inequalities as well as relationship between income inequalities and economic growth has ensued (</w:t>
      </w:r>
      <w:r w:rsidR="00985F4F">
        <w:t xml:space="preserve">e.g. </w:t>
      </w:r>
      <w:proofErr w:type="spellStart"/>
      <w:r w:rsidR="00267F94">
        <w:t>Kuznet</w:t>
      </w:r>
      <w:proofErr w:type="spellEnd"/>
      <w:r w:rsidR="00267F94">
        <w:t>, 1955</w:t>
      </w:r>
      <w:r w:rsidR="00985F4F">
        <w:t>)</w:t>
      </w:r>
      <w:r w:rsidR="00267F94">
        <w:t xml:space="preserve">  We believe that i</w:t>
      </w:r>
      <w:r>
        <w:t>ndividuals make complex trade-offs between these attributes and there is no easy and universally acceptable definition of superior life situation</w:t>
      </w:r>
      <w:r w:rsidR="00267F94">
        <w:t>; income being a somewhat crude though pertinent indicator.</w:t>
      </w:r>
      <w:r>
        <w:t xml:space="preserve"> </w:t>
      </w:r>
      <w:r w:rsidR="00840618">
        <w:t xml:space="preserve">Culture tends to influence such trade-offs. </w:t>
      </w:r>
      <w:r w:rsidR="00D11829">
        <w:t xml:space="preserve">The broad term culture has </w:t>
      </w:r>
      <w:r w:rsidR="00581EC2">
        <w:t xml:space="preserve">a </w:t>
      </w:r>
      <w:r w:rsidR="00D11829" w:rsidRPr="00581EC2">
        <w:rPr>
          <w:noProof/>
        </w:rPr>
        <w:t>complex</w:t>
      </w:r>
      <w:r w:rsidR="00D11829">
        <w:t xml:space="preserve"> influence on economic development: neither can its influence be completely negated or ignored nor can its influence be considered peremptorily deterministic. (Amartya Sen; 2004).</w:t>
      </w:r>
    </w:p>
    <w:p w14:paraId="5F5107C9" w14:textId="17A0F15D" w:rsidR="00AB3FC1" w:rsidRDefault="002D191E">
      <w:r>
        <w:t xml:space="preserve">For an individual to make a progression to a superior life situation, she must aspire to do so, must have relevant opportunities </w:t>
      </w:r>
      <w:r w:rsidR="0082180D">
        <w:t xml:space="preserve">to make the transition </w:t>
      </w:r>
      <w:r>
        <w:t xml:space="preserve">and also make needed efforts </w:t>
      </w:r>
      <w:r w:rsidR="0082180D">
        <w:t xml:space="preserve">to make use of these opportunities. Several factors tend to shape aspirations, opportunities and efforts. </w:t>
      </w:r>
      <w:r w:rsidR="00AB3FC1">
        <w:t xml:space="preserve">Appadurai (2004) states that culture influences what he calls “capacity to aspire”. This capacity to aspire </w:t>
      </w:r>
      <w:r w:rsidR="00AB3FC1" w:rsidRPr="00C74057">
        <w:rPr>
          <w:noProof/>
        </w:rPr>
        <w:t>is not uniformly distributed</w:t>
      </w:r>
      <w:r w:rsidR="00581EC2">
        <w:t>,</w:t>
      </w:r>
      <w:r w:rsidR="00AB3FC1">
        <w:t xml:space="preserve"> </w:t>
      </w:r>
      <w:r w:rsidR="00AB3FC1" w:rsidRPr="00581EC2">
        <w:rPr>
          <w:noProof/>
        </w:rPr>
        <w:t>but</w:t>
      </w:r>
      <w:r w:rsidR="00AB3FC1">
        <w:t xml:space="preserve"> according to Appadurai, the better off seem to have a greater capacity to aspire. The poor and the </w:t>
      </w:r>
      <w:r w:rsidR="00AB3FC1" w:rsidRPr="00C74057">
        <w:rPr>
          <w:noProof/>
        </w:rPr>
        <w:t>marginalized</w:t>
      </w:r>
      <w:r w:rsidR="00AB3FC1">
        <w:t xml:space="preserve"> have a streak of both: meek if ironic resignation to extant social norms as well as a strong desire to shake off the shackles which these very norms impose on them. </w:t>
      </w:r>
    </w:p>
    <w:p w14:paraId="70E0BE63" w14:textId="77777777" w:rsidR="00581EC2" w:rsidRPr="00581EC2" w:rsidRDefault="00AB3FC1">
      <w:pPr>
        <w:rPr>
          <w:noProof/>
        </w:rPr>
      </w:pPr>
      <w:r>
        <w:t xml:space="preserve"> We interpret this to greater granularity. The extent to which individuals in different households aspire depends both on their parents’ ambition as well as the strength of the </w:t>
      </w:r>
      <w:r w:rsidRPr="00C74057">
        <w:rPr>
          <w:noProof/>
        </w:rPr>
        <w:t>socialization</w:t>
      </w:r>
      <w:r>
        <w:t xml:space="preserve"> process that tends to define their identity even for themselves. </w:t>
      </w:r>
      <w:r w:rsidR="0082180D">
        <w:t>When “</w:t>
      </w:r>
      <w:proofErr w:type="spellStart"/>
      <w:r w:rsidR="0082180D" w:rsidRPr="00C74057">
        <w:rPr>
          <w:noProof/>
        </w:rPr>
        <w:t>jajmani</w:t>
      </w:r>
      <w:proofErr w:type="spellEnd"/>
      <w:r w:rsidR="0082180D">
        <w:t xml:space="preserve">” or “bara </w:t>
      </w:r>
      <w:r w:rsidR="0082180D" w:rsidRPr="00C74057">
        <w:rPr>
          <w:noProof/>
        </w:rPr>
        <w:t>balutdari</w:t>
      </w:r>
      <w:r w:rsidR="0082180D">
        <w:t xml:space="preserve">” social systems ruled villages and continuation of hereditary </w:t>
      </w:r>
      <w:r w:rsidR="0082180D" w:rsidRPr="00581EC2">
        <w:rPr>
          <w:noProof/>
        </w:rPr>
        <w:t>occupation</w:t>
      </w:r>
      <w:r w:rsidR="002D191E" w:rsidRPr="00581EC2">
        <w:rPr>
          <w:noProof/>
        </w:rPr>
        <w:t xml:space="preserve"> </w:t>
      </w:r>
      <w:r w:rsidR="0082180D" w:rsidRPr="00581EC2">
        <w:rPr>
          <w:noProof/>
        </w:rPr>
        <w:t>was</w:t>
      </w:r>
      <w:r w:rsidR="0082180D">
        <w:t xml:space="preserve"> a strong social norm, an individual had neither the aspiration nor the social sanction to aspire for </w:t>
      </w:r>
      <w:r w:rsidR="0082180D" w:rsidRPr="00581EC2">
        <w:rPr>
          <w:noProof/>
        </w:rPr>
        <w:t>anything</w:t>
      </w:r>
      <w:r w:rsidR="0082180D">
        <w:t xml:space="preserve"> else. Even in this day India, powerful local elites of a village may tend to influence what a </w:t>
      </w:r>
      <w:r w:rsidR="00581EC2">
        <w:rPr>
          <w:noProof/>
        </w:rPr>
        <w:t>D</w:t>
      </w:r>
      <w:r w:rsidR="0082180D" w:rsidRPr="00581EC2">
        <w:rPr>
          <w:noProof/>
        </w:rPr>
        <w:t>alit</w:t>
      </w:r>
      <w:r w:rsidR="0082180D">
        <w:t xml:space="preserve"> girl “ought to” do in her life and may tend to enforce their views on the households. </w:t>
      </w:r>
      <w:r w:rsidRPr="00581EC2">
        <w:rPr>
          <w:noProof/>
        </w:rPr>
        <w:t xml:space="preserve">Some of the key factors influencing these three facets of aspirations, efforts and opportunities are: </w:t>
      </w:r>
    </w:p>
    <w:p w14:paraId="498D843E" w14:textId="3462B1C9" w:rsidR="00581EC2" w:rsidRDefault="00AB3FC1" w:rsidP="00581EC2">
      <w:pPr>
        <w:pStyle w:val="ListParagraph"/>
        <w:numPr>
          <w:ilvl w:val="0"/>
          <w:numId w:val="7"/>
        </w:numPr>
        <w:rPr>
          <w:noProof/>
        </w:rPr>
      </w:pPr>
      <w:r w:rsidRPr="00581EC2">
        <w:rPr>
          <w:noProof/>
        </w:rPr>
        <w:t xml:space="preserve">income of the household, </w:t>
      </w:r>
    </w:p>
    <w:p w14:paraId="750DF6ED" w14:textId="0F6B490A" w:rsidR="00581EC2" w:rsidRDefault="00AB3FC1" w:rsidP="00581EC2">
      <w:pPr>
        <w:pStyle w:val="ListParagraph"/>
        <w:numPr>
          <w:ilvl w:val="0"/>
          <w:numId w:val="7"/>
        </w:numPr>
        <w:rPr>
          <w:noProof/>
        </w:rPr>
      </w:pPr>
      <w:r w:rsidRPr="00581EC2">
        <w:rPr>
          <w:noProof/>
        </w:rPr>
        <w:t xml:space="preserve">parental background as well as the extent of their awareness, ambition and ideology; </w:t>
      </w:r>
    </w:p>
    <w:p w14:paraId="3EDD3D25" w14:textId="77777777" w:rsidR="00581EC2" w:rsidRDefault="00AB3FC1" w:rsidP="00581EC2">
      <w:pPr>
        <w:pStyle w:val="ListParagraph"/>
        <w:numPr>
          <w:ilvl w:val="0"/>
          <w:numId w:val="7"/>
        </w:numPr>
        <w:rPr>
          <w:noProof/>
        </w:rPr>
      </w:pPr>
      <w:r w:rsidRPr="00581EC2">
        <w:rPr>
          <w:noProof/>
        </w:rPr>
        <w:t xml:space="preserve">social customs that influence </w:t>
      </w:r>
      <w:r w:rsidRPr="00C74057">
        <w:rPr>
          <w:noProof/>
        </w:rPr>
        <w:t>socialization</w:t>
      </w:r>
      <w:r w:rsidRPr="00581EC2">
        <w:rPr>
          <w:noProof/>
        </w:rPr>
        <w:t xml:space="preserve"> within the family and form norms of behaviour; </w:t>
      </w:r>
    </w:p>
    <w:p w14:paraId="2EC00E49" w14:textId="77777777" w:rsidR="00581EC2" w:rsidRDefault="00AB3FC1" w:rsidP="00581EC2">
      <w:pPr>
        <w:pStyle w:val="ListParagraph"/>
        <w:numPr>
          <w:ilvl w:val="0"/>
          <w:numId w:val="7"/>
        </w:numPr>
        <w:rPr>
          <w:noProof/>
        </w:rPr>
      </w:pPr>
      <w:r w:rsidRPr="00581EC2">
        <w:rPr>
          <w:noProof/>
        </w:rPr>
        <w:t xml:space="preserve">location </w:t>
      </w:r>
      <w:r w:rsidRPr="00C74057">
        <w:rPr>
          <w:noProof/>
        </w:rPr>
        <w:t>in terms of</w:t>
      </w:r>
      <w:r w:rsidRPr="00581EC2">
        <w:rPr>
          <w:noProof/>
        </w:rPr>
        <w:t xml:space="preserve"> proximity or remoteness from “poles of opportunities”; </w:t>
      </w:r>
    </w:p>
    <w:p w14:paraId="6B1B63C2" w14:textId="77777777" w:rsidR="00581EC2" w:rsidRDefault="00AB3FC1" w:rsidP="00581EC2">
      <w:pPr>
        <w:pStyle w:val="ListParagraph"/>
        <w:numPr>
          <w:ilvl w:val="0"/>
          <w:numId w:val="7"/>
        </w:numPr>
        <w:rPr>
          <w:noProof/>
        </w:rPr>
      </w:pPr>
      <w:r w:rsidRPr="00581EC2">
        <w:rPr>
          <w:noProof/>
        </w:rPr>
        <w:t xml:space="preserve">means of communication and </w:t>
      </w:r>
    </w:p>
    <w:p w14:paraId="20C08468" w14:textId="18F0DB57" w:rsidR="00E06A90" w:rsidRDefault="00AB3FC1" w:rsidP="00581EC2">
      <w:pPr>
        <w:pStyle w:val="ListParagraph"/>
        <w:numPr>
          <w:ilvl w:val="0"/>
          <w:numId w:val="7"/>
        </w:numPr>
      </w:pPr>
      <w:r w:rsidRPr="00581EC2">
        <w:rPr>
          <w:noProof/>
        </w:rPr>
        <w:t>finally social network and presence of a facilitative ethos.</w:t>
      </w:r>
    </w:p>
    <w:p w14:paraId="1B892D8B" w14:textId="464A9FAE" w:rsidR="006131DD" w:rsidRDefault="00BE21E1">
      <w:r>
        <w:t xml:space="preserve">Remoteness, </w:t>
      </w:r>
      <w:r w:rsidR="00581EC2">
        <w:t xml:space="preserve">the </w:t>
      </w:r>
      <w:r w:rsidRPr="00581EC2">
        <w:rPr>
          <w:noProof/>
        </w:rPr>
        <w:t>presence</w:t>
      </w:r>
      <w:r>
        <w:t xml:space="preserve"> of institutional infrastructure, </w:t>
      </w:r>
      <w:r w:rsidR="00581EC2">
        <w:t xml:space="preserve">the </w:t>
      </w:r>
      <w:r w:rsidRPr="00581EC2">
        <w:rPr>
          <w:noProof/>
        </w:rPr>
        <w:t>presence</w:t>
      </w:r>
      <w:r>
        <w:t xml:space="preserve"> of means of communication and their costs all together define the set of opportunities that exist around an individual</w:t>
      </w:r>
      <w:r w:rsidR="00E12645">
        <w:t>. W</w:t>
      </w:r>
      <w:r>
        <w:t xml:space="preserve">hile social customs, her identity and parental </w:t>
      </w:r>
      <w:r w:rsidR="00E12645">
        <w:t xml:space="preserve">income, </w:t>
      </w:r>
      <w:r>
        <w:t xml:space="preserve">awareness, ambition and ideology tend to influence which among these </w:t>
      </w:r>
      <w:r w:rsidR="00AB3FC1">
        <w:t xml:space="preserve">opportunities </w:t>
      </w:r>
      <w:r>
        <w:t xml:space="preserve">she will access. </w:t>
      </w:r>
      <w:r w:rsidR="00E06A90">
        <w:t xml:space="preserve"> Neither aspirations by themselves nor </w:t>
      </w:r>
      <w:r w:rsidR="00E06A90">
        <w:lastRenderedPageBreak/>
        <w:t xml:space="preserve">the combination of aspiration and opportunities can result in life progression. </w:t>
      </w:r>
      <w:r w:rsidR="00E06A90" w:rsidRPr="00C74057">
        <w:rPr>
          <w:noProof/>
        </w:rPr>
        <w:t xml:space="preserve">Efforts to reap full benefit of opportunities and to push the boundaries </w:t>
      </w:r>
      <w:r w:rsidR="00E12645" w:rsidRPr="00C74057">
        <w:rPr>
          <w:noProof/>
        </w:rPr>
        <w:t>to expand the opportunity set</w:t>
      </w:r>
      <w:r w:rsidR="00E12645">
        <w:t xml:space="preserve"> </w:t>
      </w:r>
      <w:r w:rsidR="00E06A90">
        <w:t>are the third dimension</w:t>
      </w:r>
      <w:r w:rsidR="00E12645">
        <w:t xml:space="preserve">. </w:t>
      </w:r>
      <w:r w:rsidR="00E12645" w:rsidRPr="00C74057">
        <w:rPr>
          <w:noProof/>
        </w:rPr>
        <w:t>E</w:t>
      </w:r>
      <w:r w:rsidRPr="00C74057">
        <w:rPr>
          <w:noProof/>
        </w:rPr>
        <w:t>xamples of rural individuals breaking the</w:t>
      </w:r>
      <w:r w:rsidR="00AB3FC1" w:rsidRPr="00C74057">
        <w:rPr>
          <w:noProof/>
        </w:rPr>
        <w:t xml:space="preserve"> typically presumed </w:t>
      </w:r>
      <w:r w:rsidRPr="00C74057">
        <w:rPr>
          <w:noProof/>
        </w:rPr>
        <w:t>glass ceilings and making stellar achievements like Late President Narayanan</w:t>
      </w:r>
      <w:r w:rsidR="00E12645" w:rsidRPr="00C74057">
        <w:rPr>
          <w:noProof/>
        </w:rPr>
        <w:t xml:space="preserve"> exist</w:t>
      </w:r>
      <w:r w:rsidRPr="00C74057">
        <w:rPr>
          <w:noProof/>
        </w:rPr>
        <w:t>;</w:t>
      </w:r>
      <w:r>
        <w:t xml:space="preserve"> but these exceptions </w:t>
      </w:r>
      <w:r w:rsidRPr="00581EC2">
        <w:rPr>
          <w:noProof/>
        </w:rPr>
        <w:t>sh</w:t>
      </w:r>
      <w:r w:rsidR="00581EC2">
        <w:rPr>
          <w:noProof/>
        </w:rPr>
        <w:t>o</w:t>
      </w:r>
      <w:r w:rsidRPr="00581EC2">
        <w:rPr>
          <w:noProof/>
        </w:rPr>
        <w:t>ne</w:t>
      </w:r>
      <w:r>
        <w:t xml:space="preserve"> in the backdrop of the dark reality to be inferred by our narration above</w:t>
      </w:r>
      <w:r w:rsidR="00AB3FC1">
        <w:t xml:space="preserve"> and lived in by millions</w:t>
      </w:r>
      <w:r>
        <w:t xml:space="preserve">.  </w:t>
      </w:r>
      <w:r w:rsidR="0082180D">
        <w:t xml:space="preserve">  </w:t>
      </w:r>
      <w:r w:rsidR="002D191E">
        <w:t xml:space="preserve">    </w:t>
      </w:r>
    </w:p>
    <w:p w14:paraId="3FCEB5A9" w14:textId="2C6C2D74" w:rsidR="00985F4F" w:rsidRDefault="00985F4F">
      <w:r>
        <w:t xml:space="preserve">Whether viewed only in terms only of income or </w:t>
      </w:r>
      <w:r w:rsidR="00581EC2">
        <w:rPr>
          <w:noProof/>
        </w:rPr>
        <w:t>regarding</w:t>
      </w:r>
      <w:r>
        <w:t xml:space="preserve"> the bundle of goods and services to be considered as forming the set of opportunities, </w:t>
      </w:r>
      <w:r w:rsidR="00581EC2">
        <w:t xml:space="preserve">the </w:t>
      </w:r>
      <w:r w:rsidRPr="00581EC2">
        <w:rPr>
          <w:noProof/>
        </w:rPr>
        <w:t>presence</w:t>
      </w:r>
      <w:r>
        <w:t xml:space="preserve"> of inequality across individuals within one locale and for communities across locales is a matter of reality. There is much populist justification for creating “equality of opportunity” across individuals</w:t>
      </w:r>
      <w:r w:rsidR="00AB3FC1">
        <w:t>. S</w:t>
      </w:r>
      <w:r>
        <w:t xml:space="preserve">o dominant is this strand of thinking in </w:t>
      </w:r>
      <w:r w:rsidR="00AB3FC1">
        <w:t xml:space="preserve">global </w:t>
      </w:r>
      <w:r>
        <w:t xml:space="preserve">social policy; broadly to </w:t>
      </w:r>
      <w:r w:rsidRPr="00581EC2">
        <w:rPr>
          <w:noProof/>
        </w:rPr>
        <w:t>be term</w:t>
      </w:r>
      <w:r w:rsidR="00581EC2">
        <w:rPr>
          <w:noProof/>
        </w:rPr>
        <w:t>ed</w:t>
      </w:r>
      <w:r>
        <w:t xml:space="preserve"> as policies for inclusion; that it would practically be blasphemous to </w:t>
      </w:r>
      <w:r w:rsidR="00AB3FC1">
        <w:t>challenge it</w:t>
      </w:r>
      <w:r>
        <w:t xml:space="preserve">. </w:t>
      </w:r>
      <w:r w:rsidR="005E61B5">
        <w:t xml:space="preserve"> </w:t>
      </w:r>
      <w:r w:rsidR="00581EC2" w:rsidRPr="00C74057">
        <w:rPr>
          <w:noProof/>
        </w:rPr>
        <w:t>H</w:t>
      </w:r>
      <w:r w:rsidR="005E61B5" w:rsidRPr="00C74057">
        <w:rPr>
          <w:noProof/>
        </w:rPr>
        <w:t>aving made a distinction between morally justifiable and morally reprehensible inequalities</w:t>
      </w:r>
      <w:r w:rsidR="005E61B5">
        <w:t xml:space="preserve">, </w:t>
      </w:r>
      <w:r>
        <w:t>there is a significant weight of opinion that says that a measure of inequality is necessary to spur individual effort</w:t>
      </w:r>
      <w:r w:rsidR="00041C09">
        <w:t xml:space="preserve"> </w:t>
      </w:r>
      <w:r w:rsidR="005E61B5">
        <w:t>(</w:t>
      </w:r>
      <w:r w:rsidR="00DD18FD">
        <w:t xml:space="preserve"> </w:t>
      </w:r>
      <w:r w:rsidR="005E61B5">
        <w:t xml:space="preserve">Roemer and </w:t>
      </w:r>
      <w:proofErr w:type="spellStart"/>
      <w:r w:rsidR="005E61B5">
        <w:t>Trannoy</w:t>
      </w:r>
      <w:proofErr w:type="spellEnd"/>
      <w:r w:rsidR="005E61B5">
        <w:t>, 2013)</w:t>
      </w:r>
      <w:r>
        <w:t xml:space="preserve">. </w:t>
      </w:r>
      <w:r w:rsidR="00AB3FC1">
        <w:t xml:space="preserve">There is </w:t>
      </w:r>
      <w:r w:rsidR="00AB3FC1" w:rsidRPr="00581EC2">
        <w:rPr>
          <w:noProof/>
        </w:rPr>
        <w:t>something</w:t>
      </w:r>
      <w:r w:rsidR="00AB3FC1">
        <w:t xml:space="preserve"> to be said for the view that while a drive towards excellence potentially leads to changing </w:t>
      </w:r>
      <w:r w:rsidR="00581EC2">
        <w:t xml:space="preserve">the </w:t>
      </w:r>
      <w:r w:rsidR="00AB3FC1" w:rsidRPr="00581EC2">
        <w:rPr>
          <w:noProof/>
        </w:rPr>
        <w:t>trajectory</w:t>
      </w:r>
      <w:r w:rsidR="00AB3FC1">
        <w:t xml:space="preserve"> of national development, blind force of inclusion could lead to sharing mediocrity and stagnation.</w:t>
      </w:r>
    </w:p>
    <w:p w14:paraId="606FFDE9" w14:textId="7ECF07FE" w:rsidR="00985F4F" w:rsidRDefault="005E61B5">
      <w:r>
        <w:t xml:space="preserve">In the studies </w:t>
      </w:r>
      <w:r w:rsidRPr="00C74057">
        <w:rPr>
          <w:noProof/>
        </w:rPr>
        <w:t>synthesized</w:t>
      </w:r>
      <w:r>
        <w:t xml:space="preserve"> here, no view about </w:t>
      </w:r>
      <w:r w:rsidR="00581EC2">
        <w:t xml:space="preserve">the </w:t>
      </w:r>
      <w:r w:rsidRPr="00581EC2">
        <w:rPr>
          <w:noProof/>
        </w:rPr>
        <w:t>desirability</w:t>
      </w:r>
      <w:r>
        <w:t xml:space="preserve"> of or desirable levels of differences in opportunities has </w:t>
      </w:r>
      <w:r w:rsidRPr="00C74057">
        <w:rPr>
          <w:noProof/>
        </w:rPr>
        <w:t>been taken</w:t>
      </w:r>
      <w:r>
        <w:t xml:space="preserve">. The effort is in the main to look at the current situation on differences in opportunities. </w:t>
      </w:r>
      <w:r w:rsidR="00DD18FD">
        <w:t>Aside from “initial wealth situation”; which admittedly differs in a big way across individuals as well as across groups in different locales;  education is considered to be a key instrumental factor facilitating life progression both for an individual in her own life as also for inter-g</w:t>
      </w:r>
      <w:r w:rsidR="005946C1">
        <w:t>e</w:t>
      </w:r>
      <w:r w:rsidR="00DD18FD">
        <w:t>nerational progression.</w:t>
      </w:r>
      <w:r w:rsidR="007E2189">
        <w:t xml:space="preserve"> </w:t>
      </w:r>
      <w:r w:rsidR="007E2189" w:rsidRPr="007E2189">
        <w:rPr>
          <w:rFonts w:cstheme="minorHAnsi"/>
          <w:lang w:val="en-GB"/>
        </w:rPr>
        <w:t xml:space="preserve">Sen views human development as a process of expanding the real freedoms that people enjoy, expressed as their capabilities in doing so (Sen, 1999). In this latter approach, real poverty is identified not only as </w:t>
      </w:r>
      <w:r w:rsidR="00C74057">
        <w:rPr>
          <w:rFonts w:cstheme="minorHAnsi"/>
          <w:lang w:val="en-GB"/>
        </w:rPr>
        <w:t xml:space="preserve">a </w:t>
      </w:r>
      <w:r w:rsidR="007E2189" w:rsidRPr="00C74057">
        <w:rPr>
          <w:rFonts w:cstheme="minorHAnsi"/>
          <w:noProof/>
          <w:lang w:val="en-GB"/>
        </w:rPr>
        <w:t>deprivation</w:t>
      </w:r>
      <w:r w:rsidR="007E2189" w:rsidRPr="007E2189">
        <w:rPr>
          <w:rFonts w:cstheme="minorHAnsi"/>
          <w:lang w:val="en-GB"/>
        </w:rPr>
        <w:t xml:space="preserve"> of income but also as </w:t>
      </w:r>
      <w:r w:rsidR="00C74057">
        <w:rPr>
          <w:rFonts w:cstheme="minorHAnsi"/>
          <w:lang w:val="en-GB"/>
        </w:rPr>
        <w:t xml:space="preserve">a </w:t>
      </w:r>
      <w:r w:rsidR="007E2189" w:rsidRPr="00C74057">
        <w:rPr>
          <w:rFonts w:cstheme="minorHAnsi"/>
          <w:noProof/>
          <w:lang w:val="en-GB"/>
        </w:rPr>
        <w:t>deprivation</w:t>
      </w:r>
      <w:r w:rsidR="007E2189" w:rsidRPr="007E2189">
        <w:rPr>
          <w:rFonts w:cstheme="minorHAnsi"/>
          <w:lang w:val="en-GB"/>
        </w:rPr>
        <w:t xml:space="preserve"> of capability. Education is referred to as foundational to other capabilities </w:t>
      </w:r>
      <w:r w:rsidR="00C74057">
        <w:rPr>
          <w:rFonts w:cstheme="minorHAnsi"/>
          <w:noProof/>
          <w:lang w:val="en-GB"/>
        </w:rPr>
        <w:t>by</w:t>
      </w:r>
      <w:r w:rsidR="007E2189" w:rsidRPr="007E2189">
        <w:rPr>
          <w:rFonts w:cstheme="minorHAnsi"/>
          <w:lang w:val="en-GB"/>
        </w:rPr>
        <w:t xml:space="preserve"> providing access to education and promoting a concrete set of basic learning outcomes, such as the abilities to read and write</w:t>
      </w:r>
      <w:r w:rsidR="00F07B2F">
        <w:rPr>
          <w:rFonts w:cstheme="minorHAnsi"/>
          <w:lang w:val="en-GB"/>
        </w:rPr>
        <w:t>.</w:t>
      </w:r>
      <w:r w:rsidR="007E2189" w:rsidRPr="007E2189">
        <w:rPr>
          <w:rFonts w:cstheme="minorHAnsi"/>
          <w:lang w:val="en-GB"/>
        </w:rPr>
        <w:t xml:space="preserve">  However, from the point of view of the Capability Approach, one can also argue that learning that stops at the level of providing only basic reading and writing skills would be insufficient to advance sustainable development and fighting poverty in its full sense, </w:t>
      </w:r>
      <w:r w:rsidR="007E2189" w:rsidRPr="007E2189">
        <w:rPr>
          <w:rFonts w:cstheme="minorHAnsi"/>
          <w:i/>
          <w:lang w:val="en-GB"/>
        </w:rPr>
        <w:t>i.e.</w:t>
      </w:r>
      <w:r w:rsidR="007E2189" w:rsidRPr="007E2189">
        <w:rPr>
          <w:rFonts w:cstheme="minorHAnsi"/>
          <w:lang w:val="en-GB"/>
        </w:rPr>
        <w:t xml:space="preserve"> addressing capability poverty (</w:t>
      </w:r>
      <w:proofErr w:type="spellStart"/>
      <w:r w:rsidR="007E2189" w:rsidRPr="007E2189">
        <w:rPr>
          <w:rFonts w:cstheme="minorHAnsi"/>
          <w:lang w:val="en-GB"/>
        </w:rPr>
        <w:t>Bakhshi</w:t>
      </w:r>
      <w:proofErr w:type="spellEnd"/>
      <w:r w:rsidR="007E2189" w:rsidRPr="007E2189">
        <w:rPr>
          <w:rFonts w:cstheme="minorHAnsi"/>
          <w:lang w:val="en-GB"/>
        </w:rPr>
        <w:t xml:space="preserve"> </w:t>
      </w:r>
      <w:r w:rsidR="007E2189" w:rsidRPr="007E2189">
        <w:rPr>
          <w:rFonts w:cstheme="minorHAnsi"/>
          <w:i/>
          <w:lang w:val="en-GB"/>
        </w:rPr>
        <w:t>et al.</w:t>
      </w:r>
      <w:r w:rsidR="007E2189" w:rsidRPr="007E2189">
        <w:rPr>
          <w:rFonts w:cstheme="minorHAnsi"/>
          <w:lang w:val="en-GB"/>
        </w:rPr>
        <w:t xml:space="preserve"> 2003, </w:t>
      </w:r>
      <w:proofErr w:type="spellStart"/>
      <w:r w:rsidR="007E2189" w:rsidRPr="007E2189">
        <w:rPr>
          <w:rFonts w:cstheme="minorHAnsi"/>
          <w:lang w:val="en-GB"/>
        </w:rPr>
        <w:t>Bakhshi</w:t>
      </w:r>
      <w:proofErr w:type="spellEnd"/>
      <w:r w:rsidR="007E2189" w:rsidRPr="007E2189">
        <w:rPr>
          <w:rFonts w:cstheme="minorHAnsi"/>
          <w:lang w:val="en-GB"/>
        </w:rPr>
        <w:t xml:space="preserve"> </w:t>
      </w:r>
      <w:r w:rsidR="007E2189" w:rsidRPr="007E2189">
        <w:rPr>
          <w:rFonts w:cstheme="minorHAnsi"/>
          <w:i/>
          <w:lang w:val="en-GB"/>
        </w:rPr>
        <w:t>et al.</w:t>
      </w:r>
      <w:r w:rsidR="007E2189" w:rsidRPr="007E2189">
        <w:rPr>
          <w:rFonts w:cstheme="minorHAnsi"/>
          <w:lang w:val="en-GB"/>
        </w:rPr>
        <w:t xml:space="preserve"> 2004,).</w:t>
      </w:r>
      <w:r w:rsidR="007E2189">
        <w:rPr>
          <w:rFonts w:cstheme="minorHAnsi"/>
          <w:lang w:val="en-GB"/>
        </w:rPr>
        <w:t xml:space="preserve"> </w:t>
      </w:r>
      <w:r w:rsidR="00DD18FD">
        <w:t xml:space="preserve">Education opens up gates to mobility as also creates </w:t>
      </w:r>
      <w:r w:rsidR="00C74057">
        <w:t xml:space="preserve">the </w:t>
      </w:r>
      <w:r w:rsidR="00DD18FD" w:rsidRPr="00C74057">
        <w:rPr>
          <w:noProof/>
        </w:rPr>
        <w:t>capacity</w:t>
      </w:r>
      <w:r w:rsidR="00DD18FD">
        <w:t xml:space="preserve"> to accept and perform in occupations different from parental occupations. Asadullah and </w:t>
      </w:r>
      <w:proofErr w:type="spellStart"/>
      <w:r w:rsidR="00DD18FD">
        <w:t>Yalonetzky</w:t>
      </w:r>
      <w:proofErr w:type="spellEnd"/>
      <w:r w:rsidR="00DD18FD">
        <w:t xml:space="preserve"> </w:t>
      </w:r>
      <w:r w:rsidR="004070E6">
        <w:t xml:space="preserve">(2010) </w:t>
      </w:r>
      <w:r w:rsidR="00DD18FD">
        <w:t xml:space="preserve">have looked at changes in educational inequalities across time and states at the macro-level in India. They took States of the Union as units of comparison and report that Gujarat, Uttar Pradesh have shown a worsening trend in inequality of educational opportunities among its citizens while Kerala has done very well in reducing these. </w:t>
      </w:r>
      <w:r w:rsidR="00897D37" w:rsidRPr="00C74057">
        <w:rPr>
          <w:noProof/>
        </w:rPr>
        <w:t>C</w:t>
      </w:r>
      <w:r w:rsidR="00DD18FD" w:rsidRPr="00C74057">
        <w:rPr>
          <w:noProof/>
        </w:rPr>
        <w:t>ommon</w:t>
      </w:r>
      <w:r w:rsidR="00C74057">
        <w:rPr>
          <w:noProof/>
        </w:rPr>
        <w:t xml:space="preserve"> </w:t>
      </w:r>
      <w:r w:rsidR="00DD18FD" w:rsidRPr="00C74057">
        <w:rPr>
          <w:noProof/>
        </w:rPr>
        <w:t>sense</w:t>
      </w:r>
      <w:r w:rsidR="00DD18FD">
        <w:t xml:space="preserve"> leads us to believe that individuals in rural areas will face an environment of difficulties and </w:t>
      </w:r>
      <w:r w:rsidR="00897D37">
        <w:t xml:space="preserve">would have fewer opportunities compared to those in urban areas. It is this belief that forms the basic hypothesis for the group of studies done and </w:t>
      </w:r>
      <w:r w:rsidR="00897D37" w:rsidRPr="00C74057">
        <w:rPr>
          <w:noProof/>
        </w:rPr>
        <w:t>synthesized</w:t>
      </w:r>
      <w:r w:rsidR="00897D37">
        <w:t xml:space="preserve"> here.  </w:t>
      </w:r>
      <w:r w:rsidR="00DD18FD">
        <w:t xml:space="preserve">  </w:t>
      </w:r>
    </w:p>
    <w:p w14:paraId="39CD4965" w14:textId="67C764C2" w:rsidR="006131DD" w:rsidRDefault="006131DD"/>
    <w:p w14:paraId="677150B9" w14:textId="4011BBDB" w:rsidR="006131DD" w:rsidRDefault="006131DD" w:rsidP="006131DD">
      <w:r>
        <w:t>III Method, materials and inferences</w:t>
      </w:r>
    </w:p>
    <w:p w14:paraId="131F0BC8" w14:textId="4D221CC6" w:rsidR="008C65D1" w:rsidRDefault="005946C1" w:rsidP="006131DD">
      <w:r>
        <w:t xml:space="preserve">The primary method of investigation was to </w:t>
      </w:r>
      <w:r w:rsidR="00C74057">
        <w:rPr>
          <w:noProof/>
        </w:rPr>
        <w:t>survey</w:t>
      </w:r>
      <w:r>
        <w:t xml:space="preserve"> </w:t>
      </w:r>
      <w:r w:rsidRPr="00C74057">
        <w:rPr>
          <w:noProof/>
        </w:rPr>
        <w:t>comparable</w:t>
      </w:r>
      <w:r>
        <w:t xml:space="preserve"> number </w:t>
      </w:r>
      <w:r w:rsidRPr="00C74057">
        <w:rPr>
          <w:noProof/>
        </w:rPr>
        <w:t>of youth</w:t>
      </w:r>
      <w:r>
        <w:t xml:space="preserve"> (age group 18-</w:t>
      </w:r>
      <w:r w:rsidR="00F418CC">
        <w:t>2</w:t>
      </w:r>
      <w:r>
        <w:t>5</w:t>
      </w:r>
      <w:r w:rsidR="00F418CC">
        <w:t xml:space="preserve"> years</w:t>
      </w:r>
      <w:r>
        <w:t>) drawn from chosen villages as well as from a proximate urban centre. The ini</w:t>
      </w:r>
      <w:r w:rsidR="00AA7F75">
        <w:t>tia</w:t>
      </w:r>
      <w:r>
        <w:t xml:space="preserve">l study to test out the schedule of interviews and method </w:t>
      </w:r>
      <w:r w:rsidRPr="00C74057">
        <w:rPr>
          <w:noProof/>
        </w:rPr>
        <w:t>was done</w:t>
      </w:r>
      <w:r>
        <w:t xml:space="preserve"> with the help of students of IIM Udaipur in Rajasthan study. In each of the other </w:t>
      </w:r>
      <w:r w:rsidR="00C74057" w:rsidRPr="00C74057">
        <w:rPr>
          <w:noProof/>
        </w:rPr>
        <w:t>5</w:t>
      </w:r>
      <w:r>
        <w:t xml:space="preserve"> studies (done by Jaipal Singh in Rajasthan Minaj Singh in Mandla, by her in Odisha, by </w:t>
      </w:r>
      <w:proofErr w:type="spellStart"/>
      <w:r w:rsidR="00AA7F75">
        <w:t>Katakee</w:t>
      </w:r>
      <w:proofErr w:type="spellEnd"/>
      <w:r>
        <w:t xml:space="preserve"> in Assam and by Londhe in Telangana); the youth interviewed </w:t>
      </w:r>
      <w:r w:rsidRPr="00C74057">
        <w:rPr>
          <w:noProof/>
        </w:rPr>
        <w:t>were drawn</w:t>
      </w:r>
      <w:r>
        <w:t xml:space="preserve"> from essentially the same social milieu</w:t>
      </w:r>
      <w:r w:rsidR="00C74057">
        <w:t>. T</w:t>
      </w:r>
      <w:r>
        <w:t>he only or at least the main difference</w:t>
      </w:r>
      <w:r w:rsidR="00C74057">
        <w:t>,</w:t>
      </w:r>
      <w:r>
        <w:t xml:space="preserve"> </w:t>
      </w:r>
      <w:r w:rsidRPr="00C74057">
        <w:rPr>
          <w:noProof/>
        </w:rPr>
        <w:lastRenderedPageBreak/>
        <w:t>therefore</w:t>
      </w:r>
      <w:r w:rsidR="00C74057" w:rsidRPr="00C74057">
        <w:rPr>
          <w:noProof/>
        </w:rPr>
        <w:t xml:space="preserve">, </w:t>
      </w:r>
      <w:r>
        <w:t xml:space="preserve"> </w:t>
      </w:r>
      <w:r w:rsidR="00C74057">
        <w:t>was</w:t>
      </w:r>
      <w:r>
        <w:t xml:space="preserve"> their location. Drawing youth from the same community / social milieu was thus expected to control for the all</w:t>
      </w:r>
      <w:r w:rsidR="00F418CC">
        <w:t>-</w:t>
      </w:r>
      <w:r>
        <w:t xml:space="preserve">pervading influence of culture allowing comparison of opportunity sets across the parameter of rural-urban divide. Attention </w:t>
      </w:r>
      <w:r w:rsidRPr="00C74057">
        <w:rPr>
          <w:noProof/>
        </w:rPr>
        <w:t>was focused</w:t>
      </w:r>
      <w:r>
        <w:t xml:space="preserve"> on educational opportunities</w:t>
      </w:r>
      <w:r w:rsidR="00FA1560">
        <w:t xml:space="preserve">. </w:t>
      </w:r>
      <w:r w:rsidR="00FA1560" w:rsidRPr="00C74057">
        <w:rPr>
          <w:noProof/>
        </w:rPr>
        <w:t>The location of the school, the “quality” of the school in terms of institutional ownership / governance; efforts made by teachers and</w:t>
      </w:r>
      <w:r w:rsidRPr="00C74057">
        <w:rPr>
          <w:noProof/>
        </w:rPr>
        <w:t xml:space="preserve"> </w:t>
      </w:r>
      <w:r w:rsidR="00FA1560" w:rsidRPr="00C74057">
        <w:rPr>
          <w:noProof/>
        </w:rPr>
        <w:t>guidance received from them, access to other facilities such as sports, extra-curricular activities, sources of information about career choices and career counselling, tuition classes for improving academic performance, coaching classes for preparing for competitive examination all together were seen to define the opportunity set available to a child and a young person.</w:t>
      </w:r>
      <w:r w:rsidR="00FA1560">
        <w:t xml:space="preserve"> Three possible situations can arise: the first is where a facility is not available within the village or a distance reachable by the child. The second is where the facility in que</w:t>
      </w:r>
      <w:r w:rsidR="00F418CC">
        <w:t>s</w:t>
      </w:r>
      <w:r w:rsidR="00FA1560">
        <w:t>tion is available</w:t>
      </w:r>
      <w:r w:rsidR="00C74057">
        <w:t>,</w:t>
      </w:r>
      <w:r w:rsidR="00FA1560">
        <w:t xml:space="preserve"> </w:t>
      </w:r>
      <w:r w:rsidR="00FA1560" w:rsidRPr="00C74057">
        <w:rPr>
          <w:noProof/>
        </w:rPr>
        <w:t>but</w:t>
      </w:r>
      <w:r w:rsidR="00FA1560">
        <w:t xml:space="preserve"> for reasons of low income or family </w:t>
      </w:r>
      <w:r w:rsidR="00FA1560" w:rsidRPr="00C74057">
        <w:rPr>
          <w:noProof/>
        </w:rPr>
        <w:t>circumstance</w:t>
      </w:r>
      <w:r w:rsidR="00C74057">
        <w:rPr>
          <w:noProof/>
        </w:rPr>
        <w:t>,</w:t>
      </w:r>
      <w:r w:rsidR="00FA1560">
        <w:t xml:space="preserve"> the child /youth was unable to access and exploit the opportunity. The third situation is the happy one where facilities are available </w:t>
      </w:r>
      <w:r w:rsidR="00FA1560" w:rsidRPr="00C74057">
        <w:rPr>
          <w:noProof/>
        </w:rPr>
        <w:t>and</w:t>
      </w:r>
      <w:r w:rsidR="00FA1560">
        <w:t xml:space="preserve"> the </w:t>
      </w:r>
      <w:r w:rsidR="00FA1560" w:rsidRPr="00C74057">
        <w:rPr>
          <w:noProof/>
        </w:rPr>
        <w:t>child</w:t>
      </w:r>
      <w:r w:rsidR="00C74057">
        <w:rPr>
          <w:noProof/>
        </w:rPr>
        <w:t>/</w:t>
      </w:r>
      <w:r w:rsidR="00FA1560" w:rsidRPr="00C74057">
        <w:rPr>
          <w:noProof/>
        </w:rPr>
        <w:t>youth</w:t>
      </w:r>
      <w:r w:rsidR="00FA1560">
        <w:t xml:space="preserve"> was able to avail it. Q</w:t>
      </w:r>
      <w:r>
        <w:t xml:space="preserve">uestions related to </w:t>
      </w:r>
      <w:r w:rsidR="00FA1560">
        <w:t xml:space="preserve">these </w:t>
      </w:r>
      <w:r>
        <w:t xml:space="preserve">diverse aspects </w:t>
      </w:r>
      <w:r w:rsidR="00C74057" w:rsidRPr="00C74057">
        <w:rPr>
          <w:noProof/>
        </w:rPr>
        <w:t xml:space="preserve">are </w:t>
      </w:r>
      <w:r w:rsidRPr="00C74057">
        <w:rPr>
          <w:noProof/>
        </w:rPr>
        <w:t>connected</w:t>
      </w:r>
      <w:r>
        <w:t xml:space="preserve"> with </w:t>
      </w:r>
      <w:r w:rsidRPr="00C74057">
        <w:rPr>
          <w:noProof/>
        </w:rPr>
        <w:t>education</w:t>
      </w:r>
      <w:r>
        <w:t xml:space="preserve"> of the youth. Data </w:t>
      </w:r>
      <w:r w:rsidRPr="00C74057">
        <w:rPr>
          <w:noProof/>
        </w:rPr>
        <w:t>w</w:t>
      </w:r>
      <w:r w:rsidR="00C74057">
        <w:rPr>
          <w:noProof/>
        </w:rPr>
        <w:t>ere</w:t>
      </w:r>
      <w:r>
        <w:t xml:space="preserve"> also obtained </w:t>
      </w:r>
      <w:r w:rsidR="00C74057">
        <w:t xml:space="preserve">on </w:t>
      </w:r>
      <w:r w:rsidR="00315E67">
        <w:t xml:space="preserve">social status and </w:t>
      </w:r>
      <w:r>
        <w:t>about education</w:t>
      </w:r>
      <w:r w:rsidR="00315E67">
        <w:t xml:space="preserve">, occupation </w:t>
      </w:r>
      <w:r>
        <w:t xml:space="preserve">and income status of the parents of the </w:t>
      </w:r>
      <w:r w:rsidRPr="00C74057">
        <w:rPr>
          <w:noProof/>
        </w:rPr>
        <w:t>focal</w:t>
      </w:r>
      <w:r>
        <w:t xml:space="preserve"> youth.</w:t>
      </w:r>
      <w:r w:rsidR="00FA1560">
        <w:t xml:space="preserve"> Comparisons about </w:t>
      </w:r>
      <w:r w:rsidR="00C74057">
        <w:t xml:space="preserve">the </w:t>
      </w:r>
      <w:r w:rsidR="00FA1560" w:rsidRPr="00C74057">
        <w:rPr>
          <w:noProof/>
        </w:rPr>
        <w:t>level</w:t>
      </w:r>
      <w:r w:rsidR="00FA1560">
        <w:t xml:space="preserve"> of educational attainment and </w:t>
      </w:r>
      <w:r w:rsidR="00FA1560" w:rsidRPr="00C74057">
        <w:rPr>
          <w:noProof/>
        </w:rPr>
        <w:t>about</w:t>
      </w:r>
      <w:r w:rsidR="00FA1560">
        <w:t xml:space="preserve"> </w:t>
      </w:r>
      <w:r w:rsidR="00C74057">
        <w:t xml:space="preserve">the </w:t>
      </w:r>
      <w:r w:rsidR="00FA1560" w:rsidRPr="00C74057">
        <w:rPr>
          <w:noProof/>
        </w:rPr>
        <w:t>availability</w:t>
      </w:r>
      <w:r w:rsidR="00FA1560">
        <w:t xml:space="preserve"> of opportunity sets </w:t>
      </w:r>
      <w:r w:rsidR="00FA1560" w:rsidRPr="00C74057">
        <w:rPr>
          <w:noProof/>
        </w:rPr>
        <w:t>were made</w:t>
      </w:r>
      <w:r w:rsidR="00FA1560">
        <w:t xml:space="preserve">. </w:t>
      </w:r>
      <w:r w:rsidR="008C65D1">
        <w:t xml:space="preserve">During the </w:t>
      </w:r>
      <w:r w:rsidR="008C65D1" w:rsidRPr="00C74057">
        <w:rPr>
          <w:noProof/>
        </w:rPr>
        <w:t>analysis</w:t>
      </w:r>
      <w:r w:rsidR="00FA1560">
        <w:t xml:space="preserve"> the rural</w:t>
      </w:r>
      <w:r w:rsidR="00C74057">
        <w:t>, as well as urban samples,</w:t>
      </w:r>
      <w:r w:rsidR="00FA1560">
        <w:t xml:space="preserve"> were partitioned </w:t>
      </w:r>
      <w:r w:rsidR="00FA1560" w:rsidRPr="00C74057">
        <w:rPr>
          <w:noProof/>
        </w:rPr>
        <w:t>in</w:t>
      </w:r>
      <w:r w:rsidR="00FA1560">
        <w:t xml:space="preserve"> three strata each. The strata were defined using parental education, parental occupation and income. </w:t>
      </w:r>
    </w:p>
    <w:p w14:paraId="7522ABCB" w14:textId="16BE17EA" w:rsidR="008C65D1" w:rsidRDefault="008C65D1" w:rsidP="006131DD"/>
    <w:p w14:paraId="15A826D4" w14:textId="3C9175B3" w:rsidR="006B57A7" w:rsidRDefault="006B57A7" w:rsidP="006131DD">
      <w:r>
        <w:t>Inferences from data:</w:t>
      </w:r>
    </w:p>
    <w:p w14:paraId="335D2879" w14:textId="17E678A2" w:rsidR="006B57A7" w:rsidRDefault="006B57A7" w:rsidP="006131DD"/>
    <w:p w14:paraId="7FAEAE0C" w14:textId="04C23D70" w:rsidR="006B57A7" w:rsidRDefault="006B57A7" w:rsidP="006B57A7">
      <w:pPr>
        <w:pStyle w:val="ListParagraph"/>
        <w:numPr>
          <w:ilvl w:val="0"/>
          <w:numId w:val="3"/>
        </w:numPr>
      </w:pPr>
      <w:r>
        <w:t xml:space="preserve">Sample </w:t>
      </w:r>
      <w:r w:rsidRPr="00C74057">
        <w:rPr>
          <w:noProof/>
        </w:rPr>
        <w:t>characterization</w:t>
      </w:r>
      <w:r w:rsidR="00F418CC">
        <w:t xml:space="preserve">: Sample </w:t>
      </w:r>
      <w:r w:rsidR="00F418CC" w:rsidRPr="00C74057">
        <w:rPr>
          <w:noProof/>
        </w:rPr>
        <w:t>was generally dominated</w:t>
      </w:r>
      <w:r w:rsidR="00F418CC">
        <w:t xml:space="preserve"> by candidates from the OBC and SC communities. Muslim students were represented well in rural Rajasthan and urban Assam and Telangana while absent in Mandla, MP; which had </w:t>
      </w:r>
      <w:r w:rsidR="00C74057">
        <w:t xml:space="preserve">a </w:t>
      </w:r>
      <w:r w:rsidR="00F418CC" w:rsidRPr="00C74057">
        <w:rPr>
          <w:noProof/>
        </w:rPr>
        <w:t>much</w:t>
      </w:r>
      <w:r w:rsidR="00F418CC">
        <w:t xml:space="preserve"> larger proportion of students from ST communities. All rural respondents came dominantly from farm households. Rural as well as urban household incomes were the highest in Telangana and lowest in MP. The proportion of married respondents was high in Rajasthan </w:t>
      </w:r>
      <w:r w:rsidR="00F418CC" w:rsidRPr="00C74057">
        <w:rPr>
          <w:noProof/>
        </w:rPr>
        <w:t>and</w:t>
      </w:r>
      <w:r w:rsidR="00F418CC">
        <w:t xml:space="preserve"> MP. Women formed a significant proportion of respondents in Mandla, Assam and Telangana while males dominated the sample in Rajasthan due to social issues.  </w:t>
      </w:r>
    </w:p>
    <w:p w14:paraId="233B9F6F" w14:textId="77777777" w:rsidR="006B57A7" w:rsidRDefault="006B57A7" w:rsidP="006B57A7">
      <w:pPr>
        <w:pStyle w:val="ListParagraph"/>
      </w:pPr>
    </w:p>
    <w:p w14:paraId="07929A0B" w14:textId="7A917ED9" w:rsidR="006B57A7" w:rsidRDefault="006B57A7" w:rsidP="006B57A7">
      <w:pPr>
        <w:pStyle w:val="ListParagraph"/>
        <w:numPr>
          <w:ilvl w:val="0"/>
          <w:numId w:val="3"/>
        </w:numPr>
      </w:pPr>
      <w:r>
        <w:t xml:space="preserve">Average educational attainment and comment on </w:t>
      </w:r>
      <w:r w:rsidR="00C74057">
        <w:t xml:space="preserve">the </w:t>
      </w:r>
      <w:r w:rsidRPr="00C74057">
        <w:rPr>
          <w:noProof/>
        </w:rPr>
        <w:t>relationship</w:t>
      </w:r>
      <w:r>
        <w:t xml:space="preserve"> with livelihoods</w:t>
      </w:r>
    </w:p>
    <w:p w14:paraId="730DEF1A" w14:textId="4ECB66BC" w:rsidR="006B57A7" w:rsidRDefault="00F418CC" w:rsidP="006131DD">
      <w:r>
        <w:t xml:space="preserve">Educational attainment of respondents was high in Telangana, Rajasthan and rural Assam </w:t>
      </w:r>
      <w:r w:rsidR="00702A3C">
        <w:t>( a majority of respondents having studied beyond HSLC) l</w:t>
      </w:r>
      <w:r>
        <w:t xml:space="preserve">and in these locales “rural” location did not introduce a significant difference in educational attainment. </w:t>
      </w:r>
      <w:r w:rsidRPr="00C74057">
        <w:rPr>
          <w:noProof/>
        </w:rPr>
        <w:t>In MP, there was a sharp difference</w:t>
      </w:r>
      <w:r w:rsidR="00C74057">
        <w:rPr>
          <w:noProof/>
        </w:rPr>
        <w:t>,</w:t>
      </w:r>
      <w:r w:rsidRPr="00C74057">
        <w:rPr>
          <w:noProof/>
        </w:rPr>
        <w:t xml:space="preserve"> and urban respondents showed higher educational attainment</w:t>
      </w:r>
      <w:r w:rsidR="00C74057" w:rsidRPr="00C74057">
        <w:rPr>
          <w:noProof/>
        </w:rPr>
        <w:t xml:space="preserve"> compared to rural youth</w:t>
      </w:r>
      <w:r w:rsidR="00702A3C" w:rsidRPr="00C74057">
        <w:rPr>
          <w:noProof/>
        </w:rPr>
        <w:t>.</w:t>
      </w:r>
      <w:r w:rsidR="00702A3C">
        <w:t xml:space="preserve"> </w:t>
      </w:r>
      <w:r>
        <w:t xml:space="preserve"> </w:t>
      </w:r>
    </w:p>
    <w:p w14:paraId="1BF25387" w14:textId="0EE4B212" w:rsidR="00E607D2" w:rsidRDefault="006B57A7" w:rsidP="008863D5">
      <w:pPr>
        <w:pStyle w:val="ListParagraph"/>
        <w:numPr>
          <w:ilvl w:val="0"/>
          <w:numId w:val="3"/>
        </w:numPr>
      </w:pPr>
      <w:r>
        <w:t>Parental education</w:t>
      </w:r>
      <w:r w:rsidR="00702A3C">
        <w:t xml:space="preserve">: In general parental education levels were low; a majority below matriculation levels. 50% and more respondents in rural areas of </w:t>
      </w:r>
      <w:r w:rsidR="0079442B">
        <w:t xml:space="preserve">all the four </w:t>
      </w:r>
      <w:r w:rsidR="0079442B" w:rsidRPr="00C74057">
        <w:rPr>
          <w:noProof/>
        </w:rPr>
        <w:t xml:space="preserve">states </w:t>
      </w:r>
      <w:r w:rsidR="00702A3C" w:rsidRPr="00C74057">
        <w:rPr>
          <w:noProof/>
        </w:rPr>
        <w:t xml:space="preserve"> reported</w:t>
      </w:r>
      <w:r w:rsidR="00702A3C">
        <w:t xml:space="preserve"> that the parents were illiterate. </w:t>
      </w:r>
      <w:r w:rsidR="00E607D2">
        <w:t xml:space="preserve">However, in none of the places, this appeared </w:t>
      </w:r>
      <w:r w:rsidR="00E607D2" w:rsidRPr="00C74057">
        <w:rPr>
          <w:noProof/>
        </w:rPr>
        <w:t xml:space="preserve">to </w:t>
      </w:r>
      <w:r w:rsidR="00C74057">
        <w:rPr>
          <w:noProof/>
        </w:rPr>
        <w:t>influence educational attainment of respondents significantly</w:t>
      </w:r>
      <w:r w:rsidR="00E607D2">
        <w:t xml:space="preserve">.  </w:t>
      </w:r>
    </w:p>
    <w:p w14:paraId="25B73C12" w14:textId="54836753" w:rsidR="006B57A7" w:rsidRDefault="006B57A7" w:rsidP="006B57A7">
      <w:pPr>
        <w:pStyle w:val="ListParagraph"/>
        <w:numPr>
          <w:ilvl w:val="0"/>
          <w:numId w:val="3"/>
        </w:numPr>
      </w:pPr>
      <w:r>
        <w:t>Parental occupation</w:t>
      </w:r>
    </w:p>
    <w:p w14:paraId="501FB165" w14:textId="7053E023" w:rsidR="00702A3C" w:rsidRDefault="00702A3C" w:rsidP="00702A3C">
      <w:pPr>
        <w:ind w:left="360"/>
      </w:pPr>
      <w:r>
        <w:t xml:space="preserve">Farming and irregular wage employment were dominant parental occupations of rural respondents while urban respondents reported a diversified parental occupation including salaried jobs, regular wage work and small self -owned </w:t>
      </w:r>
      <w:r w:rsidRPr="00C74057">
        <w:rPr>
          <w:noProof/>
        </w:rPr>
        <w:t>and managed</w:t>
      </w:r>
      <w:r>
        <w:t xml:space="preserve"> enterprises. </w:t>
      </w:r>
    </w:p>
    <w:p w14:paraId="07184D79" w14:textId="4A60C3F1" w:rsidR="006B57A7" w:rsidRDefault="006B57A7" w:rsidP="006131DD"/>
    <w:p w14:paraId="7D49DC19" w14:textId="1407B479" w:rsidR="006B57A7" w:rsidRDefault="006B57A7" w:rsidP="006B57A7">
      <w:pPr>
        <w:pStyle w:val="ListParagraph"/>
        <w:numPr>
          <w:ilvl w:val="0"/>
          <w:numId w:val="3"/>
        </w:numPr>
      </w:pPr>
      <w:r>
        <w:t>Type of school attended</w:t>
      </w:r>
    </w:p>
    <w:p w14:paraId="06A3554F" w14:textId="3B206374" w:rsidR="006B57A7" w:rsidRDefault="00E607D2" w:rsidP="006131DD">
      <w:r>
        <w:t xml:space="preserve">Over 60% respondents studied in Government schools; with Telangana reporting the highest proportion of respondents studying in private institutions. In </w:t>
      </w:r>
      <w:r w:rsidRPr="00C74057">
        <w:rPr>
          <w:noProof/>
        </w:rPr>
        <w:t>Rajasthan</w:t>
      </w:r>
      <w:r w:rsidR="00C74057">
        <w:rPr>
          <w:noProof/>
        </w:rPr>
        <w:t>,</w:t>
      </w:r>
      <w:r>
        <w:t xml:space="preserve"> the respondents themselves opined about Government schools having lower “quality” of education. MP and Assam respondents did not have any complaints about the teacher attendance and effort. More urban respondents reported having studied in private institutions.  </w:t>
      </w:r>
    </w:p>
    <w:p w14:paraId="7591E199" w14:textId="03A5A5E1" w:rsidR="006B57A7" w:rsidRDefault="006B57A7" w:rsidP="006B57A7">
      <w:pPr>
        <w:pStyle w:val="ListParagraph"/>
        <w:numPr>
          <w:ilvl w:val="0"/>
          <w:numId w:val="3"/>
        </w:numPr>
      </w:pPr>
      <w:r>
        <w:t xml:space="preserve">Distance to </w:t>
      </w:r>
      <w:r w:rsidRPr="00C74057">
        <w:rPr>
          <w:noProof/>
        </w:rPr>
        <w:t>school</w:t>
      </w:r>
      <w:r w:rsidR="00C74057">
        <w:rPr>
          <w:noProof/>
        </w:rPr>
        <w:t>/</w:t>
      </w:r>
      <w:r w:rsidRPr="00C74057">
        <w:rPr>
          <w:noProof/>
        </w:rPr>
        <w:t>college</w:t>
      </w:r>
    </w:p>
    <w:p w14:paraId="08ADC575" w14:textId="26E28494" w:rsidR="00702A3C" w:rsidRDefault="00702A3C" w:rsidP="00702A3C">
      <w:r>
        <w:t xml:space="preserve">Over 50% rural respondents and Telangana respondents having studied in private institutions reported distances above 5 km for secondary and high school level education. Education beyond matriculation required journeys longer than 10 km for most rural respondents while the reported distance to these was much smaller for urban respondents.  </w:t>
      </w:r>
    </w:p>
    <w:p w14:paraId="5AB487D8" w14:textId="77777777" w:rsidR="006B57A7" w:rsidRDefault="006B57A7" w:rsidP="006B57A7"/>
    <w:p w14:paraId="343A6831" w14:textId="249866BF" w:rsidR="006B57A7" w:rsidRDefault="006B57A7" w:rsidP="006B57A7">
      <w:pPr>
        <w:pStyle w:val="ListParagraph"/>
        <w:numPr>
          <w:ilvl w:val="0"/>
          <w:numId w:val="3"/>
        </w:numPr>
      </w:pPr>
      <w:r>
        <w:t>Discontinuity in schooling and causes</w:t>
      </w:r>
    </w:p>
    <w:p w14:paraId="29E074B1" w14:textId="1D2FD105" w:rsidR="006B57A7" w:rsidRDefault="00702A3C" w:rsidP="006131DD">
      <w:r>
        <w:t>A significant number of those rural respondents who could not complete matriculation or could not go beyond matriculation reported issues connected with the family</w:t>
      </w:r>
      <w:r w:rsidR="00C74057">
        <w:t xml:space="preserve">. </w:t>
      </w:r>
      <w:r>
        <w:t xml:space="preserve"> Parents nudging them to start earning was the reason for stopping studies beyond matriculation while </w:t>
      </w:r>
      <w:r w:rsidR="00C74057">
        <w:t xml:space="preserve">the </w:t>
      </w:r>
      <w:r w:rsidRPr="00C74057">
        <w:rPr>
          <w:noProof/>
        </w:rPr>
        <w:t>need</w:t>
      </w:r>
      <w:r>
        <w:t xml:space="preserve"> to look after younger siblings, helping parents in their work, financial problems </w:t>
      </w:r>
      <w:r w:rsidR="00DF5A5E">
        <w:t>the</w:t>
      </w:r>
      <w:r>
        <w:t xml:space="preserve"> other reasons reported for stopping studies before matriculation. </w:t>
      </w:r>
      <w:r w:rsidR="004F409D">
        <w:t>Most Telangana respondents stated that they would not want to study beyond matriculation if they got a job! There was a Special Economic Zone close to the site of the rural survey in Telangana and youth easily got a job after 10</w:t>
      </w:r>
      <w:r w:rsidR="004F409D" w:rsidRPr="004F409D">
        <w:rPr>
          <w:vertAlign w:val="superscript"/>
        </w:rPr>
        <w:t>th</w:t>
      </w:r>
      <w:r w:rsidR="004F409D">
        <w:t xml:space="preserve">. For the </w:t>
      </w:r>
      <w:r w:rsidR="004F409D" w:rsidRPr="00C74057">
        <w:rPr>
          <w:noProof/>
        </w:rPr>
        <w:t>respondents</w:t>
      </w:r>
      <w:r w:rsidR="00C74057">
        <w:rPr>
          <w:noProof/>
        </w:rPr>
        <w:t>,</w:t>
      </w:r>
      <w:r w:rsidR="004F409D">
        <w:t xml:space="preserve"> the purpose of Education was to get a job</w:t>
      </w:r>
      <w:r w:rsidR="00C74057">
        <w:t>,</w:t>
      </w:r>
      <w:r w:rsidR="004F409D">
        <w:t xml:space="preserve"> </w:t>
      </w:r>
      <w:r w:rsidR="004F409D" w:rsidRPr="00C74057">
        <w:rPr>
          <w:noProof/>
        </w:rPr>
        <w:t>and</w:t>
      </w:r>
      <w:r w:rsidR="004F409D">
        <w:t xml:space="preserve"> for </w:t>
      </w:r>
      <w:r w:rsidR="004F409D" w:rsidRPr="00D55BDC">
        <w:rPr>
          <w:noProof/>
        </w:rPr>
        <w:t>that</w:t>
      </w:r>
      <w:r w:rsidR="004F409D">
        <w:t xml:space="preserve"> if they had to, they went up to graduation.   </w:t>
      </w:r>
      <w:r w:rsidR="008D5408">
        <w:t xml:space="preserve">Rural respondents in MP appeared to show a remarkably casual attitude as several students discontinued for reasons which were not as serious. One even reported having discontinued because in the previous class he forgot there was an examination, dropped </w:t>
      </w:r>
      <w:r w:rsidR="008D5408" w:rsidRPr="00C74057">
        <w:rPr>
          <w:noProof/>
        </w:rPr>
        <w:t>out and</w:t>
      </w:r>
      <w:r w:rsidR="008D5408">
        <w:t xml:space="preserve"> then never felt like resuming! </w:t>
      </w:r>
    </w:p>
    <w:p w14:paraId="5086775A" w14:textId="7D335FD8" w:rsidR="006B57A7" w:rsidRDefault="006B57A7" w:rsidP="006B57A7">
      <w:pPr>
        <w:pStyle w:val="ListParagraph"/>
        <w:numPr>
          <w:ilvl w:val="0"/>
          <w:numId w:val="3"/>
        </w:numPr>
      </w:pPr>
      <w:r>
        <w:t>Marital status and Age at marriage</w:t>
      </w:r>
    </w:p>
    <w:p w14:paraId="36F0E87E" w14:textId="4E596C79" w:rsidR="006B57A7" w:rsidRDefault="00C74057" w:rsidP="006131DD">
      <w:r>
        <w:rPr>
          <w:noProof/>
        </w:rPr>
        <w:t>A h</w:t>
      </w:r>
      <w:r w:rsidR="00DF5A5E" w:rsidRPr="00C74057">
        <w:rPr>
          <w:noProof/>
        </w:rPr>
        <w:t>igher</w:t>
      </w:r>
      <w:r w:rsidR="00DF5A5E">
        <w:t xml:space="preserve"> proportion of </w:t>
      </w:r>
      <w:r>
        <w:t xml:space="preserve">all respondents in </w:t>
      </w:r>
      <w:r w:rsidR="00DF5A5E" w:rsidRPr="00D55BDC">
        <w:rPr>
          <w:noProof/>
        </w:rPr>
        <w:t xml:space="preserve">Rajasthan  as well as urban respondents </w:t>
      </w:r>
      <w:r w:rsidR="00D55BDC" w:rsidRPr="00D55BDC">
        <w:rPr>
          <w:noProof/>
        </w:rPr>
        <w:t xml:space="preserve">in </w:t>
      </w:r>
      <w:r w:rsidR="00DF5A5E" w:rsidRPr="00D55BDC">
        <w:rPr>
          <w:noProof/>
        </w:rPr>
        <w:t xml:space="preserve">Assam </w:t>
      </w:r>
      <w:r w:rsidR="00DF5A5E">
        <w:t xml:space="preserve">reported </w:t>
      </w:r>
      <w:r w:rsidR="00DF5A5E" w:rsidRPr="00D55BDC">
        <w:rPr>
          <w:noProof/>
        </w:rPr>
        <w:t>their</w:t>
      </w:r>
      <w:r w:rsidR="00DF5A5E">
        <w:t xml:space="preserve"> </w:t>
      </w:r>
      <w:r w:rsidR="00DF5A5E" w:rsidRPr="00D55BDC">
        <w:rPr>
          <w:noProof/>
        </w:rPr>
        <w:t>being married</w:t>
      </w:r>
      <w:r w:rsidR="00DF5A5E">
        <w:t xml:space="preserve">. </w:t>
      </w:r>
      <w:r w:rsidR="00DF5A5E" w:rsidRPr="00D55BDC">
        <w:rPr>
          <w:noProof/>
        </w:rPr>
        <w:t>This</w:t>
      </w:r>
      <w:r w:rsidR="00DF5A5E">
        <w:t xml:space="preserve"> happened for both for women and men and </w:t>
      </w:r>
      <w:r w:rsidR="00DF5A5E" w:rsidRPr="00D55BDC">
        <w:rPr>
          <w:noProof/>
        </w:rPr>
        <w:t>was ascribed</w:t>
      </w:r>
      <w:r w:rsidR="00DF5A5E">
        <w:t xml:space="preserve"> to the social customs there. Several women reported that marriage and consequent responsibilities were reasons that came in the way of continuing or taking up higher education. </w:t>
      </w:r>
    </w:p>
    <w:p w14:paraId="3DF31CB6" w14:textId="54CD4D68" w:rsidR="006B57A7" w:rsidRDefault="006B57A7" w:rsidP="006B57A7">
      <w:pPr>
        <w:pStyle w:val="ListParagraph"/>
        <w:numPr>
          <w:ilvl w:val="0"/>
          <w:numId w:val="3"/>
        </w:numPr>
      </w:pPr>
      <w:r w:rsidRPr="00D55BDC">
        <w:rPr>
          <w:noProof/>
        </w:rPr>
        <w:t>Perceived</w:t>
      </w:r>
      <w:r>
        <w:t xml:space="preserve"> regularity of teachers</w:t>
      </w:r>
    </w:p>
    <w:p w14:paraId="631F834B" w14:textId="58707023" w:rsidR="00DF5A5E" w:rsidRDefault="00DF5A5E" w:rsidP="00DF5A5E">
      <w:r>
        <w:t xml:space="preserve">MP and Assam respondents said there was in general no issue regarding attendance of teachers. Rajasthan respondents reported issues with attendance and diligence of teachers in Government schools. The difficulty was about having teachers and educational institutions for science and commerce stream and that caused a majority to take arts subjects.  </w:t>
      </w:r>
    </w:p>
    <w:p w14:paraId="08DDFA89" w14:textId="6C8AD823" w:rsidR="006B57A7" w:rsidRDefault="006B57A7" w:rsidP="006B57A7">
      <w:pPr>
        <w:pStyle w:val="ListParagraph"/>
        <w:numPr>
          <w:ilvl w:val="0"/>
          <w:numId w:val="3"/>
        </w:numPr>
      </w:pPr>
      <w:r>
        <w:t>Availability of tuition classes</w:t>
      </w:r>
    </w:p>
    <w:p w14:paraId="2592B1D3" w14:textId="689C4B54" w:rsidR="00DF5A5E" w:rsidRDefault="00DF5A5E" w:rsidP="00DF5A5E">
      <w:r>
        <w:t xml:space="preserve">Barring Telangana </w:t>
      </w:r>
      <w:r w:rsidRPr="00D55BDC">
        <w:rPr>
          <w:noProof/>
        </w:rPr>
        <w:t>respondents</w:t>
      </w:r>
      <w:r w:rsidR="00D55BDC">
        <w:rPr>
          <w:noProof/>
        </w:rPr>
        <w:t>,</w:t>
      </w:r>
      <w:r>
        <w:t xml:space="preserve"> other respondents did not at all report availability of tuition or coaching classes. Rural respondents</w:t>
      </w:r>
      <w:r w:rsidR="00D55BDC">
        <w:t>, in general,</w:t>
      </w:r>
      <w:r>
        <w:t xml:space="preserve"> had to manage on their own. In particular, awareness or access to assistance for preparing for competitive examination was much lower in rural respondents in all states except Telangana. In Telangana too, the access was lower than that reported by the urban respondents. </w:t>
      </w:r>
    </w:p>
    <w:p w14:paraId="7ECA9D06" w14:textId="1C6400A8" w:rsidR="006B57A7" w:rsidRDefault="006B57A7" w:rsidP="008863D5">
      <w:pPr>
        <w:pStyle w:val="ListParagraph"/>
        <w:numPr>
          <w:ilvl w:val="0"/>
          <w:numId w:val="3"/>
        </w:numPr>
      </w:pPr>
      <w:r>
        <w:lastRenderedPageBreak/>
        <w:t xml:space="preserve">Availability of </w:t>
      </w:r>
      <w:r w:rsidR="00DF5A5E">
        <w:t xml:space="preserve">role models, </w:t>
      </w:r>
      <w:r>
        <w:t>career guidance and counselling</w:t>
      </w:r>
      <w:r w:rsidR="00DF5A5E">
        <w:t xml:space="preserve"> and an ethos of higher attainment</w:t>
      </w:r>
      <w:r w:rsidR="00566680">
        <w:t xml:space="preserve">:  </w:t>
      </w:r>
      <w:r w:rsidR="00DF5A5E">
        <w:t xml:space="preserve">This was a huge missing factor in rural areas of Rajasthan and rural areas of MP. Getting a Government job was the ultimate ambition of the rural and urban children in Rajasthan, Assam and  MP and no one reported having </w:t>
      </w:r>
      <w:r w:rsidR="00566680">
        <w:t>ambitions or desire to follow some known role model. Career counselling was also in general missing for the rural respondents.</w:t>
      </w:r>
    </w:p>
    <w:p w14:paraId="16C6CD64" w14:textId="77777777" w:rsidR="00566680" w:rsidRDefault="00566680" w:rsidP="00566680">
      <w:pPr>
        <w:pStyle w:val="ListParagraph"/>
      </w:pPr>
    </w:p>
    <w:p w14:paraId="449EE2F6" w14:textId="0D16597D" w:rsidR="00566680" w:rsidRDefault="00566680" w:rsidP="008863D5">
      <w:pPr>
        <w:pStyle w:val="ListParagraph"/>
        <w:numPr>
          <w:ilvl w:val="0"/>
          <w:numId w:val="3"/>
        </w:numPr>
      </w:pPr>
      <w:r>
        <w:t xml:space="preserve">Libraries: The presence, access, awareness </w:t>
      </w:r>
      <w:r w:rsidRPr="00D55BDC">
        <w:rPr>
          <w:noProof/>
        </w:rPr>
        <w:t>and</w:t>
      </w:r>
      <w:r w:rsidR="00D55BDC" w:rsidRPr="00D55BDC">
        <w:rPr>
          <w:noProof/>
        </w:rPr>
        <w:t xml:space="preserve"> a</w:t>
      </w:r>
      <w:r w:rsidR="00D55BDC">
        <w:t xml:space="preserve"> </w:t>
      </w:r>
      <w:r>
        <w:t>felt</w:t>
      </w:r>
      <w:r w:rsidR="00D55BDC">
        <w:t xml:space="preserve"> </w:t>
      </w:r>
      <w:r w:rsidRPr="00D55BDC">
        <w:rPr>
          <w:noProof/>
        </w:rPr>
        <w:t>need</w:t>
      </w:r>
      <w:r>
        <w:t xml:space="preserve"> for libraries was in general simply non-existent in rural respondents as well as urban respondents in Rajasthan, Assam and MP.</w:t>
      </w:r>
      <w:r w:rsidR="004F409D">
        <w:t xml:space="preserve"> Telangana urban respondents showed distinctly superior access to books, magazines and newspapers compared to their rural counterparts.  </w:t>
      </w:r>
    </w:p>
    <w:p w14:paraId="46E841BA" w14:textId="4CFA445E" w:rsidR="006B57A7" w:rsidRDefault="006B57A7" w:rsidP="006B57A7">
      <w:pPr>
        <w:pStyle w:val="ListParagraph"/>
        <w:numPr>
          <w:ilvl w:val="0"/>
          <w:numId w:val="3"/>
        </w:numPr>
      </w:pPr>
      <w:r>
        <w:t>Availability of sports facilities</w:t>
      </w:r>
      <w:r w:rsidR="00566680">
        <w:t>; facilities and for extra-curricular activities: Formal sports facilities such as for football were present to an extent in Assam but not reported in other states. Facilities for other extra-curricular activities were in general not listed by rural respondents.</w:t>
      </w:r>
    </w:p>
    <w:p w14:paraId="2B0759F0" w14:textId="5BDECA06" w:rsidR="006B57A7" w:rsidRDefault="006B57A7" w:rsidP="00566680">
      <w:pPr>
        <w:pStyle w:val="ListParagraph"/>
      </w:pPr>
    </w:p>
    <w:p w14:paraId="168C5A85" w14:textId="4C2080F6" w:rsidR="006B57A7" w:rsidRDefault="006B57A7" w:rsidP="006131DD"/>
    <w:p w14:paraId="16002D65" w14:textId="6D755BDC" w:rsidR="006B57A7" w:rsidRDefault="006B57A7" w:rsidP="006131DD">
      <w:r>
        <w:t>Overall inferences</w:t>
      </w:r>
    </w:p>
    <w:p w14:paraId="4A51F79D" w14:textId="16BF5E68" w:rsidR="004C597A" w:rsidRDefault="004C597A" w:rsidP="006131DD">
      <w:r>
        <w:t xml:space="preserve">Rural respondents reported a relatively poorer set of opportunities in Rajasthan and MP. This was </w:t>
      </w:r>
      <w:r w:rsidR="00D55BDC">
        <w:rPr>
          <w:noProof/>
        </w:rPr>
        <w:t>regarding</w:t>
      </w:r>
      <w:r>
        <w:t xml:space="preserve"> </w:t>
      </w:r>
      <w:r w:rsidRPr="00D55BDC">
        <w:rPr>
          <w:noProof/>
        </w:rPr>
        <w:t>distance</w:t>
      </w:r>
      <w:r>
        <w:t xml:space="preserve"> to schools, poorer parental awareness, income and education and in case of Rajasthan inferior diligence of teachers. Assam rural respondents reported superior educational attainments and the difference could perhaps </w:t>
      </w:r>
      <w:r w:rsidRPr="00D55BDC">
        <w:rPr>
          <w:noProof/>
        </w:rPr>
        <w:t>be ascribed</w:t>
      </w:r>
      <w:r>
        <w:t xml:space="preserve"> to differences in communities represented: urban sample had </w:t>
      </w:r>
      <w:r w:rsidR="00D55BDC">
        <w:t xml:space="preserve">a </w:t>
      </w:r>
      <w:r w:rsidRPr="00D55BDC">
        <w:rPr>
          <w:noProof/>
        </w:rPr>
        <w:t>much</w:t>
      </w:r>
      <w:r>
        <w:t xml:space="preserve"> higher representation of </w:t>
      </w:r>
      <w:r w:rsidR="004F409D">
        <w:t>M</w:t>
      </w:r>
      <w:r>
        <w:t>uslims. Assam did not report any gap in educational opportunities. In Telangana too the educational opportunities were not very different in rural area sample as compared to urban counterparts.</w:t>
      </w:r>
      <w:r w:rsidR="00943AE0">
        <w:t xml:space="preserve"> Parental education level had virtually no influence on educational attainment of children in our respondents from either in rural or urban areas.  A majority of youth reported studying in Government schools except in Telangana where a significant number of </w:t>
      </w:r>
      <w:r w:rsidR="00943AE0" w:rsidRPr="00D55BDC">
        <w:rPr>
          <w:noProof/>
        </w:rPr>
        <w:t>respondents travelled</w:t>
      </w:r>
      <w:r w:rsidR="00943AE0">
        <w:t xml:space="preserve"> larger distances but preferred going to private institutions. </w:t>
      </w:r>
      <w:r w:rsidR="008D5408">
        <w:t xml:space="preserve">It may </w:t>
      </w:r>
      <w:r w:rsidR="008D5408" w:rsidRPr="00D55BDC">
        <w:rPr>
          <w:noProof/>
        </w:rPr>
        <w:t>be noted</w:t>
      </w:r>
      <w:r w:rsidR="008D5408">
        <w:t xml:space="preserve"> that income levels for both rural and urban households in the sample </w:t>
      </w:r>
      <w:r w:rsidR="008D5408" w:rsidRPr="00D55BDC">
        <w:rPr>
          <w:noProof/>
        </w:rPr>
        <w:t>w</w:t>
      </w:r>
      <w:r w:rsidR="00D55BDC">
        <w:rPr>
          <w:noProof/>
        </w:rPr>
        <w:t>ere</w:t>
      </w:r>
      <w:r w:rsidR="008D5408">
        <w:t xml:space="preserve"> far higher in Telangana while they were the lowest in MP. Family pressures, difficulties and expectations for early work participation </w:t>
      </w:r>
      <w:r w:rsidR="008D5408" w:rsidRPr="00D55BDC">
        <w:rPr>
          <w:noProof/>
        </w:rPr>
        <w:t>were reported</w:t>
      </w:r>
      <w:r w:rsidR="008D5408">
        <w:t xml:space="preserve"> as reasons for discontinuing education in rural areas.  </w:t>
      </w:r>
      <w:r w:rsidR="00AC7FAC">
        <w:t xml:space="preserve">In Rajasthan </w:t>
      </w:r>
      <w:r w:rsidR="00AC7FAC" w:rsidRPr="00D55BDC">
        <w:rPr>
          <w:noProof/>
        </w:rPr>
        <w:t>alone</w:t>
      </w:r>
      <w:r w:rsidR="00D55BDC">
        <w:rPr>
          <w:noProof/>
        </w:rPr>
        <w:t>,</w:t>
      </w:r>
      <w:r w:rsidR="00AC7FAC">
        <w:t xml:space="preserve"> there was a positive and significant correlation between educational level and income of working respondents. Assam and Telangana respondents appeared to </w:t>
      </w:r>
      <w:r w:rsidR="00AC7FAC" w:rsidRPr="00D55BDC">
        <w:rPr>
          <w:noProof/>
        </w:rPr>
        <w:t>focus</w:t>
      </w:r>
      <w:r w:rsidR="00D55BDC">
        <w:rPr>
          <w:noProof/>
        </w:rPr>
        <w:t>/</w:t>
      </w:r>
      <w:r w:rsidR="00AC7FAC" w:rsidRPr="00D55BDC">
        <w:rPr>
          <w:noProof/>
        </w:rPr>
        <w:t>aspire</w:t>
      </w:r>
      <w:r w:rsidR="00AC7FAC">
        <w:t xml:space="preserve"> for / </w:t>
      </w:r>
      <w:r w:rsidR="00AC7FAC" w:rsidRPr="00D55BDC">
        <w:rPr>
          <w:noProof/>
        </w:rPr>
        <w:t>participate more</w:t>
      </w:r>
      <w:r w:rsidR="00AC7FAC">
        <w:t xml:space="preserve"> on skill oriented </w:t>
      </w:r>
      <w:r w:rsidR="00AC7FAC" w:rsidRPr="00D55BDC">
        <w:rPr>
          <w:noProof/>
        </w:rPr>
        <w:t>short</w:t>
      </w:r>
      <w:r w:rsidR="00D55BDC">
        <w:rPr>
          <w:noProof/>
        </w:rPr>
        <w:t>-</w:t>
      </w:r>
      <w:r w:rsidR="00AC7FAC" w:rsidRPr="00D55BDC">
        <w:rPr>
          <w:noProof/>
        </w:rPr>
        <w:t>term</w:t>
      </w:r>
      <w:r w:rsidR="00AC7FAC">
        <w:t xml:space="preserve"> training programs as they perceived these to open career opportunities. Surprisingly in Telangana, participation in such programs was only a shade higher in urban areas</w:t>
      </w:r>
      <w:r w:rsidR="00D55BDC">
        <w:t>,</w:t>
      </w:r>
      <w:r w:rsidR="00AC7FAC">
        <w:t xml:space="preserve"> </w:t>
      </w:r>
      <w:r w:rsidR="00D55BDC" w:rsidRPr="00D55BDC">
        <w:rPr>
          <w:noProof/>
        </w:rPr>
        <w:t>e</w:t>
      </w:r>
      <w:r w:rsidR="00D55BDC">
        <w:rPr>
          <w:noProof/>
        </w:rPr>
        <w:t xml:space="preserve">ven </w:t>
      </w:r>
      <w:r w:rsidR="00AC7FAC" w:rsidRPr="00D55BDC">
        <w:rPr>
          <w:noProof/>
        </w:rPr>
        <w:t>though</w:t>
      </w:r>
      <w:r w:rsidR="00AC7FAC">
        <w:t xml:space="preserve"> the facilities for such were only in urban centres.  </w:t>
      </w:r>
    </w:p>
    <w:p w14:paraId="4A5638F7" w14:textId="4869BC2F" w:rsidR="006B57A7" w:rsidRDefault="00951C85" w:rsidP="006131DD">
      <w:r>
        <w:t xml:space="preserve">We infer that within the same broad geographic locale there are some but not very large gaps in the opportunity gaps experienced by youth in rural areas and the youth in proximate urban centres. </w:t>
      </w:r>
    </w:p>
    <w:p w14:paraId="2FFF3F23" w14:textId="58B064B3" w:rsidR="006131DD" w:rsidRDefault="006131DD" w:rsidP="006131DD">
      <w:r>
        <w:t>IV    Transitions across strata</w:t>
      </w:r>
    </w:p>
    <w:p w14:paraId="02141C25" w14:textId="7459EC41" w:rsidR="006B57A7" w:rsidRDefault="00951C85" w:rsidP="006131DD">
      <w:r>
        <w:t xml:space="preserve">The sample of respondents was divided </w:t>
      </w:r>
      <w:r w:rsidRPr="00D55BDC">
        <w:rPr>
          <w:noProof/>
        </w:rPr>
        <w:t>in</w:t>
      </w:r>
      <w:r>
        <w:t xml:space="preserve"> three strata using scores on education and occupation. </w:t>
      </w:r>
      <w:r w:rsidR="00D55BDC">
        <w:rPr>
          <w:noProof/>
        </w:rPr>
        <w:t>T</w:t>
      </w:r>
      <w:r>
        <w:t>he High stratu</w:t>
      </w:r>
      <w:r w:rsidR="00D55BDC">
        <w:t>m</w:t>
      </w:r>
      <w:r>
        <w:t xml:space="preserve"> comprised respondents whose parents were (relatively) better educated, whose income was (relatively) high and whose earnings were (relatively) more regular or certain. The Low stratum comprised the respondents whose parents exhibited the opposite attributes etc.  The respondents were also classified using the same indicators </w:t>
      </w:r>
      <w:r w:rsidR="00D55BDC">
        <w:rPr>
          <w:noProof/>
        </w:rPr>
        <w:t>about</w:t>
      </w:r>
      <w:r>
        <w:t xml:space="preserve"> themselves. The first classification </w:t>
      </w:r>
      <w:r w:rsidRPr="00D55BDC">
        <w:rPr>
          <w:noProof/>
        </w:rPr>
        <w:t>was based</w:t>
      </w:r>
      <w:r>
        <w:t xml:space="preserve"> on the attributes </w:t>
      </w:r>
      <w:r w:rsidR="00D55BDC">
        <w:rPr>
          <w:noProof/>
        </w:rPr>
        <w:t>about</w:t>
      </w:r>
      <w:r>
        <w:t xml:space="preserve"> </w:t>
      </w:r>
      <w:r w:rsidRPr="00D55BDC">
        <w:rPr>
          <w:noProof/>
        </w:rPr>
        <w:t>parents</w:t>
      </w:r>
      <w:r>
        <w:t xml:space="preserve"> of the respondents and the second to respondents </w:t>
      </w:r>
      <w:r>
        <w:lastRenderedPageBreak/>
        <w:t xml:space="preserve">themselves. </w:t>
      </w:r>
      <w:r w:rsidRPr="00D55BDC">
        <w:rPr>
          <w:noProof/>
        </w:rPr>
        <w:t>This</w:t>
      </w:r>
      <w:r>
        <w:t xml:space="preserve"> then gave a way of seeing inter-generational mobility across strata.  </w:t>
      </w:r>
      <w:r w:rsidR="00D55BDC" w:rsidRPr="00D55BDC">
        <w:rPr>
          <w:noProof/>
        </w:rPr>
        <w:t>By</w:t>
      </w:r>
      <w:r w:rsidR="00D55BDC">
        <w:rPr>
          <w:noProof/>
        </w:rPr>
        <w:t xml:space="preserve"> </w:t>
      </w:r>
      <w:r w:rsidRPr="00D55BDC">
        <w:rPr>
          <w:noProof/>
        </w:rPr>
        <w:t>Using historical frequencies</w:t>
      </w:r>
      <w:r>
        <w:t xml:space="preserve">, probabilities of transiting from low stratum to medium or </w:t>
      </w:r>
      <w:r w:rsidRPr="00D55BDC">
        <w:rPr>
          <w:noProof/>
        </w:rPr>
        <w:t>to</w:t>
      </w:r>
      <w:r>
        <w:t xml:space="preserve"> high and vice versa </w:t>
      </w:r>
      <w:r w:rsidRPr="00D55BDC">
        <w:rPr>
          <w:noProof/>
        </w:rPr>
        <w:t>were estimated</w:t>
      </w:r>
      <w:r>
        <w:t xml:space="preserve">. The exercises </w:t>
      </w:r>
      <w:r w:rsidRPr="00D55BDC">
        <w:rPr>
          <w:noProof/>
        </w:rPr>
        <w:t>was</w:t>
      </w:r>
      <w:r>
        <w:t xml:space="preserve"> done separately for rural and urban samples. Should </w:t>
      </w:r>
      <w:r w:rsidRPr="00D55BDC">
        <w:rPr>
          <w:noProof/>
        </w:rPr>
        <w:t>sheer</w:t>
      </w:r>
      <w:r>
        <w:t xml:space="preserve"> fact of urban locations indicate higher opportunities, then one would expect the probability of upwards transition to be higher for urban sample. Such </w:t>
      </w:r>
      <w:r w:rsidR="00D55BDC" w:rsidRPr="00D55BDC">
        <w:rPr>
          <w:noProof/>
        </w:rPr>
        <w:t xml:space="preserve">a </w:t>
      </w:r>
      <w:r w:rsidRPr="00D55BDC">
        <w:rPr>
          <w:noProof/>
        </w:rPr>
        <w:t>difference</w:t>
      </w:r>
      <w:r>
        <w:t xml:space="preserve">, though in the right direction, was too small to confirm the above hypothesis.  </w:t>
      </w:r>
    </w:p>
    <w:p w14:paraId="03EDB163" w14:textId="69E87F9B" w:rsidR="006B57A7" w:rsidRDefault="00951C85" w:rsidP="006131DD">
      <w:r>
        <w:t xml:space="preserve">Thus we infer that not only do comparisons of </w:t>
      </w:r>
      <w:r w:rsidR="00D55BDC">
        <w:t xml:space="preserve">the </w:t>
      </w:r>
      <w:r w:rsidRPr="00D55BDC">
        <w:rPr>
          <w:noProof/>
        </w:rPr>
        <w:t>opportunity</w:t>
      </w:r>
      <w:r>
        <w:t xml:space="preserve"> set as </w:t>
      </w:r>
      <w:r w:rsidR="00D55BDC">
        <w:t xml:space="preserve">a </w:t>
      </w:r>
      <w:r w:rsidRPr="00D55BDC">
        <w:rPr>
          <w:noProof/>
        </w:rPr>
        <w:t>nominal</w:t>
      </w:r>
      <w:r>
        <w:t xml:space="preserve"> cat</w:t>
      </w:r>
      <w:r w:rsidR="00FF2246">
        <w:t xml:space="preserve">egory not yield a conclusion of high difference between rural </w:t>
      </w:r>
      <w:r w:rsidR="00D55BDC">
        <w:t xml:space="preserve">and </w:t>
      </w:r>
      <w:r w:rsidR="00FF2246">
        <w:t>areas and proximate urban centres</w:t>
      </w:r>
      <w:r w:rsidR="00D55BDC">
        <w:t xml:space="preserve">; </w:t>
      </w:r>
      <w:r w:rsidR="00D55BDC" w:rsidRPr="00D55BDC">
        <w:rPr>
          <w:noProof/>
        </w:rPr>
        <w:t>we</w:t>
      </w:r>
      <w:r w:rsidR="00D55BDC">
        <w:rPr>
          <w:noProof/>
        </w:rPr>
        <w:t xml:space="preserve"> can not </w:t>
      </w:r>
      <w:r w:rsidR="00FF2246" w:rsidRPr="00D55BDC">
        <w:rPr>
          <w:noProof/>
        </w:rPr>
        <w:t>assert</w:t>
      </w:r>
      <w:r w:rsidR="00FF2246">
        <w:t xml:space="preserve"> that urban location </w:t>
      </w:r>
      <w:r w:rsidR="00FF2246" w:rsidRPr="00D55BDC">
        <w:rPr>
          <w:noProof/>
        </w:rPr>
        <w:t>make</w:t>
      </w:r>
      <w:r w:rsidR="00D55BDC" w:rsidRPr="00D55BDC">
        <w:rPr>
          <w:noProof/>
        </w:rPr>
        <w:t>s</w:t>
      </w:r>
      <w:r w:rsidR="00FF2246">
        <w:t xml:space="preserve"> inter-generational upward mobility more likely.</w:t>
      </w:r>
    </w:p>
    <w:p w14:paraId="3B8B3048" w14:textId="233165FC" w:rsidR="006131DD" w:rsidRDefault="006131DD" w:rsidP="006131DD">
      <w:r>
        <w:t>V   Discussion</w:t>
      </w:r>
    </w:p>
    <w:p w14:paraId="39223C54" w14:textId="65D79AAA" w:rsidR="00FF2246" w:rsidRDefault="00FF2246" w:rsidP="006131DD"/>
    <w:p w14:paraId="3EF3941A" w14:textId="7596CE6B" w:rsidR="00F305EE" w:rsidRDefault="00200062" w:rsidP="00F305EE">
      <w:r>
        <w:t xml:space="preserve">There is a popular belief that both circular and near permanent migration from rural areas towards urban areas, and thus the whole process of </w:t>
      </w:r>
      <w:r w:rsidRPr="00D55BDC">
        <w:rPr>
          <w:noProof/>
        </w:rPr>
        <w:t>urbanization</w:t>
      </w:r>
      <w:r>
        <w:t>, is propelled by the differences in opportunities in rural and in urban areas. Our is</w:t>
      </w:r>
      <w:r w:rsidR="00FF2246">
        <w:t xml:space="preserve"> that </w:t>
      </w:r>
      <w:r>
        <w:t xml:space="preserve">the </w:t>
      </w:r>
      <w:r w:rsidR="00FF2246">
        <w:t>opportunity sets faced by individuals in rural areas do not differ very widely from the opportunity sets available in proximate urban</w:t>
      </w:r>
      <w:r>
        <w:t xml:space="preserve">. We further find </w:t>
      </w:r>
      <w:r w:rsidR="00FF2246">
        <w:t>that chances of inter-generational mobility also do not differ much when compared between rural and urban areas</w:t>
      </w:r>
      <w:r>
        <w:t>. Three possible factors lead to these unexpected findings</w:t>
      </w:r>
      <w:r w:rsidRPr="00D55BDC">
        <w:rPr>
          <w:noProof/>
        </w:rPr>
        <w:t>.</w:t>
      </w:r>
      <w:r w:rsidR="00FF2246" w:rsidRPr="00D55BDC">
        <w:rPr>
          <w:noProof/>
        </w:rPr>
        <w:t>.</w:t>
      </w:r>
      <w:r w:rsidR="00FF2246">
        <w:t xml:space="preserve"> </w:t>
      </w:r>
    </w:p>
    <w:p w14:paraId="1F662A48" w14:textId="62983C17" w:rsidR="00FF2246" w:rsidRDefault="00826641" w:rsidP="00200062">
      <w:pPr>
        <w:pStyle w:val="ListParagraph"/>
        <w:numPr>
          <w:ilvl w:val="0"/>
          <w:numId w:val="6"/>
        </w:numPr>
      </w:pPr>
      <w:r>
        <w:t xml:space="preserve">Weak differential enablers and </w:t>
      </w:r>
      <w:r w:rsidR="00FF2246">
        <w:t xml:space="preserve"> larger than presumed role of culture: </w:t>
      </w:r>
      <w:r>
        <w:t xml:space="preserve"> If the enabling factors of education, career guidance, presence of role models etc. were present to a much larger extent in urban centres compared to the surrounding rural areas, then one would see a larger effect in terms of educational attainment between rural brethren and their urban counterpart. These enablers are environmental rather than </w:t>
      </w:r>
      <w:r w:rsidRPr="00D55BDC">
        <w:rPr>
          <w:noProof/>
        </w:rPr>
        <w:t>organizational</w:t>
      </w:r>
      <w:r>
        <w:t xml:space="preserve">. </w:t>
      </w:r>
      <w:r w:rsidR="00D55BDC">
        <w:rPr>
          <w:noProof/>
        </w:rPr>
        <w:t>The s</w:t>
      </w:r>
      <w:r w:rsidRPr="00D55BDC">
        <w:rPr>
          <w:noProof/>
        </w:rPr>
        <w:t>heer</w:t>
      </w:r>
      <w:r>
        <w:t xml:space="preserve"> presence of better schools or colleges closer to </w:t>
      </w:r>
      <w:r w:rsidR="00D55BDC">
        <w:t xml:space="preserve">the </w:t>
      </w:r>
      <w:r w:rsidRPr="00D55BDC">
        <w:rPr>
          <w:noProof/>
        </w:rPr>
        <w:t>location</w:t>
      </w:r>
      <w:r>
        <w:t xml:space="preserve"> of residence is a physical, </w:t>
      </w:r>
      <w:r w:rsidRPr="00D55BDC">
        <w:rPr>
          <w:noProof/>
        </w:rPr>
        <w:t>organizational</w:t>
      </w:r>
      <w:r>
        <w:t xml:space="preserve"> facet</w:t>
      </w:r>
      <w:r w:rsidR="00200062">
        <w:t>. W</w:t>
      </w:r>
      <w:r>
        <w:t xml:space="preserve">e note that the above is a facilitative factor which does not need </w:t>
      </w:r>
      <w:r w:rsidRPr="00D55BDC">
        <w:rPr>
          <w:noProof/>
        </w:rPr>
        <w:t>organizational</w:t>
      </w:r>
      <w:r>
        <w:t xml:space="preserve"> presence so significantly. </w:t>
      </w:r>
      <w:r w:rsidR="00D55BDC" w:rsidRPr="00D55BDC">
        <w:rPr>
          <w:noProof/>
        </w:rPr>
        <w:t>We</w:t>
      </w:r>
      <w:r w:rsidR="00D55BDC">
        <w:rPr>
          <w:noProof/>
        </w:rPr>
        <w:t xml:space="preserve"> had</w:t>
      </w:r>
      <w:r w:rsidR="00FF2246" w:rsidRPr="00D55BDC">
        <w:rPr>
          <w:noProof/>
        </w:rPr>
        <w:t xml:space="preserve"> argued</w:t>
      </w:r>
      <w:r w:rsidR="00FF2246">
        <w:t xml:space="preserve"> that aspects of identity, perception about “what is good enough for me”, aspirations and the effective efforts which an individual puts in are all possibly influenced by the cultural ethos in which </w:t>
      </w:r>
      <w:r w:rsidR="00200062">
        <w:t xml:space="preserve">an </w:t>
      </w:r>
      <w:r w:rsidR="00FF2246">
        <w:t xml:space="preserve">individual lives. </w:t>
      </w:r>
      <w:r w:rsidR="00200062">
        <w:t xml:space="preserve">It appears by implication that </w:t>
      </w:r>
      <w:r w:rsidR="00FF2246">
        <w:t>an</w:t>
      </w:r>
      <w:r w:rsidR="00200062">
        <w:t>y</w:t>
      </w:r>
      <w:r w:rsidR="00FF2246">
        <w:t xml:space="preserve"> urban centre and the villages around it, th</w:t>
      </w:r>
      <w:r>
        <w:t xml:space="preserve">e same </w:t>
      </w:r>
      <w:r w:rsidR="00200062">
        <w:t xml:space="preserve">socio-cultural </w:t>
      </w:r>
      <w:r w:rsidR="00FF2246">
        <w:t>ethos</w:t>
      </w:r>
      <w:r>
        <w:t xml:space="preserve"> pervades.</w:t>
      </w:r>
      <w:r w:rsidR="00200062">
        <w:t xml:space="preserve"> Thus aspirations</w:t>
      </w:r>
      <w:r w:rsidR="00D55BDC">
        <w:t>, as well as efforts,</w:t>
      </w:r>
      <w:r w:rsidR="00200062">
        <w:t xml:space="preserve"> are similarly affected in urban and rural areas reducing the demand for factors which define opportunities. </w:t>
      </w:r>
    </w:p>
    <w:p w14:paraId="5D2910D8" w14:textId="77777777" w:rsidR="00FF2246" w:rsidRDefault="00FF2246" w:rsidP="006131DD"/>
    <w:p w14:paraId="13825DF1" w14:textId="51B5F6BC" w:rsidR="00FF2246" w:rsidRDefault="00FF2246" w:rsidP="00FF2246">
      <w:pPr>
        <w:pStyle w:val="ListParagraph"/>
        <w:numPr>
          <w:ilvl w:val="0"/>
          <w:numId w:val="4"/>
        </w:numPr>
      </w:pPr>
      <w:r>
        <w:t>Transport and communication facilities have reduced material differences</w:t>
      </w:r>
    </w:p>
    <w:p w14:paraId="1A0E50BB" w14:textId="77777777" w:rsidR="00826641" w:rsidRDefault="00826641" w:rsidP="00826641">
      <w:pPr>
        <w:pStyle w:val="ListParagraph"/>
      </w:pPr>
    </w:p>
    <w:p w14:paraId="4CC76F86" w14:textId="4C98F79F" w:rsidR="00826641" w:rsidRDefault="00826641" w:rsidP="00826641">
      <w:pPr>
        <w:pStyle w:val="ListParagraph"/>
      </w:pPr>
      <w:r>
        <w:t xml:space="preserve">One simple leveller is the access to affordable and convenient transport and communication infrastructure. When such </w:t>
      </w:r>
      <w:r w:rsidR="00D55BDC">
        <w:t xml:space="preserve">a </w:t>
      </w:r>
      <w:r w:rsidRPr="00D55BDC">
        <w:rPr>
          <w:noProof/>
        </w:rPr>
        <w:t>communication</w:t>
      </w:r>
      <w:r>
        <w:t xml:space="preserve"> network is present, distance does not pose an insurmountable challenge </w:t>
      </w:r>
      <w:r w:rsidRPr="00D55BDC">
        <w:rPr>
          <w:noProof/>
        </w:rPr>
        <w:t>and</w:t>
      </w:r>
      <w:r>
        <w:t xml:space="preserve"> the individuals seem to show similar access to opportunities.</w:t>
      </w:r>
    </w:p>
    <w:p w14:paraId="2E078DE3" w14:textId="77777777" w:rsidR="00FF2246" w:rsidRDefault="00FF2246" w:rsidP="006131DD"/>
    <w:p w14:paraId="1B556299" w14:textId="60CE6E5D" w:rsidR="00FF2246" w:rsidRDefault="00FF2246" w:rsidP="00FF2246">
      <w:pPr>
        <w:pStyle w:val="ListParagraph"/>
        <w:numPr>
          <w:ilvl w:val="0"/>
          <w:numId w:val="4"/>
        </w:numPr>
      </w:pPr>
      <w:r>
        <w:t xml:space="preserve">Weak incentives </w:t>
      </w:r>
      <w:r w:rsidRPr="00D55BDC">
        <w:rPr>
          <w:noProof/>
        </w:rPr>
        <w:t>to</w:t>
      </w:r>
      <w:r>
        <w:t xml:space="preserve"> education due to reducing wage differentials in </w:t>
      </w:r>
      <w:r w:rsidRPr="00D55BDC">
        <w:rPr>
          <w:noProof/>
        </w:rPr>
        <w:t>occupations</w:t>
      </w:r>
      <w:r w:rsidR="00826641" w:rsidRPr="00D55BDC">
        <w:rPr>
          <w:noProof/>
        </w:rPr>
        <w:t>:</w:t>
      </w:r>
      <w:r w:rsidR="00826641">
        <w:t xml:space="preserve"> The third </w:t>
      </w:r>
      <w:r w:rsidR="00826641" w:rsidRPr="00D55BDC">
        <w:rPr>
          <w:noProof/>
        </w:rPr>
        <w:t>facet</w:t>
      </w:r>
      <w:r w:rsidR="00826641">
        <w:t xml:space="preserve"> why average educational attainment may not show big differences is that there are fewer incentives to educational attainment than one </w:t>
      </w:r>
      <w:r w:rsidR="00826641" w:rsidRPr="00D55BDC">
        <w:rPr>
          <w:noProof/>
        </w:rPr>
        <w:t>conjecture</w:t>
      </w:r>
      <w:r w:rsidR="00D55BDC" w:rsidRPr="00D55BDC">
        <w:rPr>
          <w:noProof/>
        </w:rPr>
        <w:t>s</w:t>
      </w:r>
      <w:r w:rsidR="00826641">
        <w:t xml:space="preserve">. </w:t>
      </w:r>
      <w:r w:rsidR="00826641" w:rsidRPr="00D55BDC">
        <w:rPr>
          <w:noProof/>
        </w:rPr>
        <w:t>This</w:t>
      </w:r>
      <w:r w:rsidR="00826641">
        <w:t xml:space="preserve"> may happen because of </w:t>
      </w:r>
      <w:r w:rsidR="00826641" w:rsidRPr="00D55BDC">
        <w:rPr>
          <w:noProof/>
        </w:rPr>
        <w:t>weak</w:t>
      </w:r>
      <w:r w:rsidR="00826641">
        <w:t xml:space="preserve"> wage differential between occupations which can </w:t>
      </w:r>
      <w:r w:rsidR="00826641" w:rsidRPr="00D55BDC">
        <w:rPr>
          <w:noProof/>
        </w:rPr>
        <w:t>be taken</w:t>
      </w:r>
      <w:r w:rsidR="00826641">
        <w:t xml:space="preserve"> with lower education and occupations which require better education. Considering that educational streams of science and commerce both were more difficult to access in rural areas and hence the </w:t>
      </w:r>
      <w:r w:rsidR="00826641">
        <w:lastRenderedPageBreak/>
        <w:t xml:space="preserve">children had to opt for arts education, higher education perhaps does not add to employability much and hence youth experience little or no incentive to take to higher education whether in rural areas or proximate urban centres. </w:t>
      </w:r>
      <w:r>
        <w:t xml:space="preserve"> </w:t>
      </w:r>
    </w:p>
    <w:p w14:paraId="20367FF5" w14:textId="77777777" w:rsidR="00FF2246" w:rsidRDefault="00FF2246" w:rsidP="006131DD"/>
    <w:p w14:paraId="7DE3AF24" w14:textId="05278363" w:rsidR="006131DD" w:rsidRDefault="00BD231E" w:rsidP="006131DD">
      <w:pPr>
        <w:ind w:firstLine="360"/>
      </w:pPr>
      <w:r>
        <w:t>Conclusion</w:t>
      </w:r>
    </w:p>
    <w:p w14:paraId="57E81D38" w14:textId="16DD652F" w:rsidR="00BD231E" w:rsidRDefault="00BD231E" w:rsidP="006131DD">
      <w:pPr>
        <w:ind w:firstLine="360"/>
      </w:pPr>
      <w:r>
        <w:t xml:space="preserve">The field studies indicate that the gaps between opportunity </w:t>
      </w:r>
      <w:r w:rsidRPr="00D55BDC">
        <w:rPr>
          <w:noProof/>
        </w:rPr>
        <w:t>set</w:t>
      </w:r>
      <w:r>
        <w:t xml:space="preserve"> available to youth in rural areas </w:t>
      </w:r>
      <w:r w:rsidRPr="00D55BDC">
        <w:rPr>
          <w:noProof/>
        </w:rPr>
        <w:t>and</w:t>
      </w:r>
      <w:r>
        <w:t xml:space="preserve"> those available to youth in urban areas are not remarkably wide. The gaps appear wide in relatively under-developed areas such as Mandla in MP than in a </w:t>
      </w:r>
      <w:r w:rsidRPr="00D55BDC">
        <w:rPr>
          <w:noProof/>
        </w:rPr>
        <w:t>better</w:t>
      </w:r>
      <w:r w:rsidR="00D55BDC">
        <w:rPr>
          <w:noProof/>
        </w:rPr>
        <w:t>-</w:t>
      </w:r>
      <w:r w:rsidRPr="00D55BDC">
        <w:rPr>
          <w:noProof/>
        </w:rPr>
        <w:t>developed</w:t>
      </w:r>
      <w:r>
        <w:t xml:space="preserve"> locale such as Hyderabad in Telangana. We </w:t>
      </w:r>
      <w:r w:rsidR="00200062">
        <w:t xml:space="preserve">infer </w:t>
      </w:r>
      <w:r>
        <w:t xml:space="preserve">that there is not too much difference between the </w:t>
      </w:r>
      <w:r w:rsidRPr="00D55BDC">
        <w:rPr>
          <w:noProof/>
        </w:rPr>
        <w:t>so</w:t>
      </w:r>
      <w:r w:rsidR="00D55BDC">
        <w:rPr>
          <w:noProof/>
        </w:rPr>
        <w:t>-</w:t>
      </w:r>
      <w:r w:rsidRPr="00D55BDC">
        <w:rPr>
          <w:noProof/>
        </w:rPr>
        <w:t>called</w:t>
      </w:r>
      <w:r>
        <w:t xml:space="preserve"> rural and the </w:t>
      </w:r>
      <w:r w:rsidRPr="00D55BDC">
        <w:rPr>
          <w:noProof/>
        </w:rPr>
        <w:t>so called</w:t>
      </w:r>
      <w:r>
        <w:t xml:space="preserve"> urban in proximate geographies primarily because of continuation of the same cultural ethos in both the areas, weakness of the differential enablers and significant improvement in transport and communication networks which reduces the effective differences as experienced by rural youth. It is</w:t>
      </w:r>
      <w:r w:rsidR="00D55BDC">
        <w:t>, however,</w:t>
      </w:r>
      <w:r>
        <w:t xml:space="preserve"> important to note that </w:t>
      </w:r>
      <w:r w:rsidRPr="00D55BDC">
        <w:rPr>
          <w:noProof/>
        </w:rPr>
        <w:t>this conclusion</w:t>
      </w:r>
      <w:r>
        <w:t xml:space="preserve"> of “not very wide gaps in opportunities” is valid for rural and urban areas contiguous to each other. The studies do not throw any data to disprove the belief that opportunity sets available to highly developed urban centres such as the metro-cities are vastly different from those available in remote and </w:t>
      </w:r>
      <w:r w:rsidRPr="00D55BDC">
        <w:rPr>
          <w:noProof/>
        </w:rPr>
        <w:t>far flung</w:t>
      </w:r>
      <w:r>
        <w:t xml:space="preserve"> rural areas in say the Central Indian tribal heartlands.    </w:t>
      </w:r>
    </w:p>
    <w:p w14:paraId="2AF86849" w14:textId="69AB5616" w:rsidR="006131DD" w:rsidRDefault="006131DD" w:rsidP="006131DD">
      <w:pPr>
        <w:ind w:left="360"/>
      </w:pPr>
    </w:p>
    <w:p w14:paraId="68F2BB25" w14:textId="77777777" w:rsidR="006131DD" w:rsidRPr="006131DD" w:rsidRDefault="006131DD"/>
    <w:p w14:paraId="1833A535" w14:textId="77777777" w:rsidR="006131DD" w:rsidRPr="006131DD" w:rsidRDefault="006131DD">
      <w:pPr>
        <w:rPr>
          <w:b/>
        </w:rPr>
      </w:pPr>
    </w:p>
    <w:p w14:paraId="27F3544C" w14:textId="118338ED" w:rsidR="00D11829" w:rsidRDefault="00D11829">
      <w:r>
        <w:br w:type="page"/>
      </w:r>
    </w:p>
    <w:p w14:paraId="722B8D79" w14:textId="033BD7D3" w:rsidR="006131DD" w:rsidRDefault="00D11829">
      <w:r>
        <w:lastRenderedPageBreak/>
        <w:t>References</w:t>
      </w:r>
    </w:p>
    <w:p w14:paraId="29D378F8" w14:textId="657B0D00" w:rsidR="00D11829" w:rsidRDefault="00D11829">
      <w:r>
        <w:t>Amartya Sen, “How Does Culture Matter, in V. Rao and M. Walton(ed) Culture and Public Action, Stanford University Press, Paulo Alto, 2004</w:t>
      </w:r>
    </w:p>
    <w:p w14:paraId="1C4CA2A3" w14:textId="73011022" w:rsidR="00D11829" w:rsidRDefault="00D11829">
      <w:r>
        <w:t>Arjun Appadurai</w:t>
      </w:r>
    </w:p>
    <w:p w14:paraId="3CAEB72E" w14:textId="7DEC967E" w:rsidR="00D11829" w:rsidRDefault="00D11829">
      <w:r>
        <w:t>Census of India, Report Chapter 2 on definitions, Government of India, New Delhi 2011.</w:t>
      </w:r>
    </w:p>
    <w:p w14:paraId="78564ED0" w14:textId="600DCE68" w:rsidR="00D11829" w:rsidRDefault="00D11829">
      <w:r>
        <w:t>Arjun Appadurai; “Capacity to Aspire,” in V. Rao and M. Walton, ibid.</w:t>
      </w:r>
    </w:p>
    <w:p w14:paraId="6A3E3DC2" w14:textId="7FD03850" w:rsidR="002D210B" w:rsidRPr="002D210B" w:rsidRDefault="002D210B" w:rsidP="002D210B">
      <w:pPr>
        <w:pStyle w:val="Heading3"/>
        <w:spacing w:before="0" w:beforeAutospacing="0" w:after="0" w:afterAutospacing="0"/>
        <w:rPr>
          <w:rFonts w:asciiTheme="minorHAnsi" w:hAnsiTheme="minorHAnsi" w:cstheme="minorHAnsi"/>
          <w:b w:val="0"/>
          <w:bCs w:val="0"/>
          <w:sz w:val="22"/>
          <w:szCs w:val="22"/>
        </w:rPr>
      </w:pPr>
      <w:r w:rsidRPr="002D210B">
        <w:rPr>
          <w:rFonts w:asciiTheme="minorHAnsi" w:hAnsiTheme="minorHAnsi" w:cstheme="minorHAnsi"/>
          <w:b w:val="0"/>
          <w:bCs w:val="0"/>
          <w:sz w:val="22"/>
          <w:szCs w:val="22"/>
        </w:rPr>
        <w:t xml:space="preserve">AN Hoffman, </w:t>
      </w:r>
      <w:hyperlink r:id="rId8" w:history="1">
        <w:r w:rsidRPr="002D210B">
          <w:rPr>
            <w:rStyle w:val="Hyperlink"/>
            <w:rFonts w:asciiTheme="minorHAnsi" w:hAnsiTheme="minorHAnsi" w:cstheme="minorHAnsi"/>
            <w:b w:val="0"/>
            <w:bCs w:val="0"/>
            <w:color w:val="660099"/>
            <w:sz w:val="22"/>
            <w:szCs w:val="22"/>
          </w:rPr>
          <w:t>The Human Capability Appro</w:t>
        </w:r>
        <w:bookmarkStart w:id="0" w:name="_GoBack"/>
        <w:bookmarkEnd w:id="0"/>
        <w:r w:rsidRPr="002D210B">
          <w:rPr>
            <w:rStyle w:val="Hyperlink"/>
            <w:rFonts w:asciiTheme="minorHAnsi" w:hAnsiTheme="minorHAnsi" w:cstheme="minorHAnsi"/>
            <w:b w:val="0"/>
            <w:bCs w:val="0"/>
            <w:color w:val="660099"/>
            <w:sz w:val="22"/>
            <w:szCs w:val="22"/>
          </w:rPr>
          <w:t xml:space="preserve">ach and Education </w:t>
        </w:r>
      </w:hyperlink>
    </w:p>
    <w:p w14:paraId="70D42679" w14:textId="77777777" w:rsidR="002D210B" w:rsidRPr="002D210B" w:rsidRDefault="002D210B" w:rsidP="002D210B">
      <w:pPr>
        <w:shd w:val="clear" w:color="auto" w:fill="FFFFFF"/>
        <w:spacing w:line="240" w:lineRule="atLeast"/>
        <w:rPr>
          <w:rFonts w:cstheme="minorHAnsi"/>
          <w:color w:val="808080"/>
        </w:rPr>
      </w:pPr>
      <w:r w:rsidRPr="002D210B">
        <w:rPr>
          <w:rStyle w:val="HTMLCite"/>
          <w:rFonts w:cstheme="minorHAnsi"/>
          <w:i w:val="0"/>
          <w:iCs w:val="0"/>
          <w:color w:val="006621"/>
        </w:rPr>
        <w:t>www.unece.org/fileadmin/DAM/env/esd/EGC/.../ADFCAPABILITYARTICLE.doc</w:t>
      </w:r>
    </w:p>
    <w:p w14:paraId="15D4D87C" w14:textId="77777777" w:rsidR="002D210B" w:rsidRPr="002D210B" w:rsidRDefault="002D210B" w:rsidP="004070E6">
      <w:pPr>
        <w:pStyle w:val="action-menu-item"/>
        <w:shd w:val="clear" w:color="auto" w:fill="FFFFFF"/>
        <w:spacing w:before="0" w:beforeAutospacing="0" w:after="0" w:afterAutospacing="0" w:line="240" w:lineRule="atLeast"/>
        <w:textAlignment w:val="center"/>
        <w:rPr>
          <w:rFonts w:asciiTheme="minorHAnsi" w:hAnsiTheme="minorHAnsi" w:cstheme="minorHAnsi"/>
          <w:color w:val="808080"/>
          <w:sz w:val="22"/>
          <w:szCs w:val="22"/>
        </w:rPr>
      </w:pPr>
    </w:p>
    <w:p w14:paraId="0CB445A0" w14:textId="28B2FF9C" w:rsidR="002D210B" w:rsidRPr="00041C09" w:rsidRDefault="004070E6" w:rsidP="00041C09">
      <w:pPr>
        <w:pStyle w:val="action-menu-item"/>
        <w:shd w:val="clear" w:color="auto" w:fill="FFFFFF"/>
        <w:spacing w:before="0" w:beforeAutospacing="0" w:after="0" w:afterAutospacing="0" w:line="240" w:lineRule="atLeast"/>
        <w:textAlignment w:val="center"/>
        <w:rPr>
          <w:rFonts w:asciiTheme="minorHAnsi" w:hAnsiTheme="minorHAnsi" w:cstheme="minorHAnsi"/>
          <w:color w:val="808080"/>
          <w:sz w:val="22"/>
          <w:szCs w:val="22"/>
        </w:rPr>
      </w:pPr>
      <w:proofErr w:type="spellStart"/>
      <w:r>
        <w:rPr>
          <w:rFonts w:asciiTheme="minorHAnsi" w:hAnsiTheme="minorHAnsi" w:cstheme="minorHAnsi"/>
          <w:color w:val="808080"/>
          <w:sz w:val="22"/>
          <w:szCs w:val="22"/>
        </w:rPr>
        <w:t>Assadullah</w:t>
      </w:r>
      <w:proofErr w:type="spellEnd"/>
      <w:r>
        <w:rPr>
          <w:rFonts w:asciiTheme="minorHAnsi" w:hAnsiTheme="minorHAnsi" w:cstheme="minorHAnsi"/>
          <w:color w:val="808080"/>
          <w:sz w:val="22"/>
          <w:szCs w:val="22"/>
        </w:rPr>
        <w:t xml:space="preserve"> Niaz M and </w:t>
      </w:r>
      <w:proofErr w:type="spellStart"/>
      <w:r>
        <w:rPr>
          <w:rFonts w:asciiTheme="minorHAnsi" w:hAnsiTheme="minorHAnsi" w:cstheme="minorHAnsi"/>
          <w:color w:val="808080"/>
          <w:sz w:val="22"/>
          <w:szCs w:val="22"/>
        </w:rPr>
        <w:t>Yalonetzky</w:t>
      </w:r>
      <w:proofErr w:type="spellEnd"/>
      <w:r>
        <w:rPr>
          <w:rFonts w:asciiTheme="minorHAnsi" w:hAnsiTheme="minorHAnsi" w:cstheme="minorHAnsi"/>
          <w:color w:val="808080"/>
          <w:sz w:val="22"/>
          <w:szCs w:val="22"/>
        </w:rPr>
        <w:t xml:space="preserve"> G; Inequality of educational Opportunity in </w:t>
      </w:r>
      <w:proofErr w:type="spellStart"/>
      <w:r>
        <w:rPr>
          <w:rFonts w:asciiTheme="minorHAnsi" w:hAnsiTheme="minorHAnsi" w:cstheme="minorHAnsi"/>
          <w:color w:val="808080"/>
          <w:sz w:val="22"/>
          <w:szCs w:val="22"/>
        </w:rPr>
        <w:t>India:Changes</w:t>
      </w:r>
      <w:proofErr w:type="spellEnd"/>
      <w:r>
        <w:rPr>
          <w:rFonts w:asciiTheme="minorHAnsi" w:hAnsiTheme="minorHAnsi" w:cstheme="minorHAnsi"/>
          <w:color w:val="808080"/>
          <w:sz w:val="22"/>
          <w:szCs w:val="22"/>
        </w:rPr>
        <w:t xml:space="preserve"> over time and Across States; IZA DP number 5146; Institute for the Study of Labour, Bonn, 2010. </w:t>
      </w:r>
    </w:p>
    <w:p w14:paraId="4004237F" w14:textId="64F7B3D1" w:rsidR="00D11829" w:rsidRPr="002D210B" w:rsidRDefault="00840618">
      <w:pPr>
        <w:rPr>
          <w:rFonts w:cstheme="minorHAnsi"/>
        </w:rPr>
      </w:pPr>
      <w:proofErr w:type="spellStart"/>
      <w:r w:rsidRPr="002D210B">
        <w:rPr>
          <w:rFonts w:cstheme="minorHAnsi"/>
        </w:rPr>
        <w:t>Kuznet</w:t>
      </w:r>
      <w:proofErr w:type="spellEnd"/>
      <w:r w:rsidRPr="002D210B">
        <w:rPr>
          <w:rFonts w:cstheme="minorHAnsi"/>
        </w:rPr>
        <w:t xml:space="preserve"> (1955)</w:t>
      </w:r>
    </w:p>
    <w:p w14:paraId="5A92A6E8" w14:textId="77777777" w:rsidR="007E2189" w:rsidRPr="007E2189" w:rsidRDefault="007E2189" w:rsidP="007E2189">
      <w:pPr>
        <w:tabs>
          <w:tab w:val="left" w:pos="1080"/>
        </w:tabs>
        <w:spacing w:after="80" w:line="240" w:lineRule="auto"/>
        <w:rPr>
          <w:rFonts w:eastAsia="Times New Roman" w:cstheme="minorHAnsi"/>
          <w:lang w:val="en-GB"/>
        </w:rPr>
      </w:pPr>
      <w:proofErr w:type="spellStart"/>
      <w:r w:rsidRPr="007E2189">
        <w:rPr>
          <w:rFonts w:eastAsia="Times New Roman" w:cstheme="minorHAnsi"/>
          <w:smallCaps/>
          <w:lang w:val="en-GB"/>
        </w:rPr>
        <w:t>Bakhshi</w:t>
      </w:r>
      <w:proofErr w:type="spellEnd"/>
      <w:r w:rsidRPr="007E2189">
        <w:rPr>
          <w:rFonts w:eastAsia="Times New Roman" w:cstheme="minorHAnsi"/>
          <w:smallCaps/>
          <w:lang w:val="en-GB"/>
        </w:rPr>
        <w:t xml:space="preserve">, P., Hoffmann, A.M., </w:t>
      </w:r>
      <w:proofErr w:type="spellStart"/>
      <w:r w:rsidRPr="007E2189">
        <w:rPr>
          <w:rFonts w:eastAsia="Times New Roman" w:cstheme="minorHAnsi"/>
          <w:smallCaps/>
          <w:lang w:val="en-GB"/>
        </w:rPr>
        <w:t>Radja</w:t>
      </w:r>
      <w:proofErr w:type="spellEnd"/>
      <w:r w:rsidRPr="007E2189">
        <w:rPr>
          <w:rFonts w:eastAsia="Times New Roman" w:cstheme="minorHAnsi"/>
          <w:lang w:val="en-GB"/>
        </w:rPr>
        <w:t xml:space="preserve">, K. (2003), “Education and the capabilities approach: Life skills education as a bridge to human capabilities”, paper presented at the </w:t>
      </w:r>
      <w:r w:rsidRPr="007E2189">
        <w:rPr>
          <w:rFonts w:eastAsia="Times New Roman" w:cstheme="minorHAnsi"/>
          <w:i/>
          <w:lang w:val="en-GB"/>
        </w:rPr>
        <w:t>3</w:t>
      </w:r>
      <w:r w:rsidRPr="007E2189">
        <w:rPr>
          <w:rFonts w:eastAsia="Times New Roman" w:cstheme="minorHAnsi"/>
          <w:i/>
          <w:vertAlign w:val="superscript"/>
          <w:lang w:val="en-GB"/>
        </w:rPr>
        <w:t>rd</w:t>
      </w:r>
      <w:r w:rsidRPr="007E2189">
        <w:rPr>
          <w:rFonts w:eastAsia="Times New Roman" w:cstheme="minorHAnsi"/>
          <w:i/>
          <w:lang w:val="en-GB"/>
        </w:rPr>
        <w:t xml:space="preserve"> Conference of the Capability Approach</w:t>
      </w:r>
      <w:r w:rsidRPr="007E2189">
        <w:rPr>
          <w:rFonts w:eastAsia="Times New Roman" w:cstheme="minorHAnsi"/>
          <w:lang w:val="en-GB"/>
        </w:rPr>
        <w:t>, Pavia.</w:t>
      </w:r>
    </w:p>
    <w:p w14:paraId="79937CCF" w14:textId="7FC5E24D" w:rsidR="00041C09" w:rsidRDefault="007E2189" w:rsidP="00310128">
      <w:pPr>
        <w:tabs>
          <w:tab w:val="left" w:pos="1080"/>
        </w:tabs>
        <w:spacing w:after="80" w:line="240" w:lineRule="auto"/>
        <w:rPr>
          <w:rFonts w:eastAsia="Times New Roman" w:cstheme="minorHAnsi"/>
          <w:lang w:val="en-GB"/>
        </w:rPr>
      </w:pPr>
      <w:proofErr w:type="spellStart"/>
      <w:r w:rsidRPr="007E2189">
        <w:rPr>
          <w:rFonts w:eastAsia="Times New Roman" w:cstheme="minorHAnsi"/>
          <w:smallCaps/>
          <w:lang w:val="en-GB"/>
        </w:rPr>
        <w:t>Bakhshi</w:t>
      </w:r>
      <w:proofErr w:type="spellEnd"/>
      <w:r w:rsidRPr="007E2189">
        <w:rPr>
          <w:rFonts w:eastAsia="Times New Roman" w:cstheme="minorHAnsi"/>
          <w:smallCaps/>
          <w:lang w:val="en-GB"/>
        </w:rPr>
        <w:t>, P., Hoffmann, A.M., Van Ravens, J.</w:t>
      </w:r>
      <w:r w:rsidRPr="007E2189">
        <w:rPr>
          <w:rFonts w:eastAsia="Times New Roman" w:cstheme="minorHAnsi"/>
          <w:lang w:val="en-GB"/>
        </w:rPr>
        <w:t xml:space="preserve"> (2004), “</w:t>
      </w:r>
      <w:r w:rsidRPr="007E2189">
        <w:rPr>
          <w:rFonts w:eastAsia="Times New Roman" w:cstheme="minorHAnsi"/>
          <w:bCs/>
          <w:lang w:val="en-GB"/>
        </w:rPr>
        <w:t>Monitoring EFA from a Capabilities’ perspective: A life skills approach to quality education”</w:t>
      </w:r>
      <w:r w:rsidRPr="007E2189">
        <w:rPr>
          <w:rFonts w:eastAsia="Times New Roman" w:cstheme="minorHAnsi"/>
          <w:lang w:val="en-GB"/>
        </w:rPr>
        <w:t xml:space="preserve">, paper presented at the </w:t>
      </w:r>
      <w:r w:rsidRPr="007E2189">
        <w:rPr>
          <w:rFonts w:eastAsia="Times New Roman" w:cstheme="minorHAnsi"/>
          <w:i/>
          <w:lang w:val="en-GB"/>
        </w:rPr>
        <w:t>4th Conference of the Capability Approach</w:t>
      </w:r>
      <w:r w:rsidRPr="007E2189">
        <w:rPr>
          <w:rFonts w:eastAsia="Times New Roman" w:cstheme="minorHAnsi"/>
          <w:lang w:val="en-GB"/>
        </w:rPr>
        <w:t>, Pavia.</w:t>
      </w:r>
    </w:p>
    <w:p w14:paraId="658795DD" w14:textId="67219F86" w:rsidR="00310128" w:rsidRDefault="00310128" w:rsidP="00310128">
      <w:pPr>
        <w:tabs>
          <w:tab w:val="left" w:pos="1080"/>
        </w:tabs>
        <w:spacing w:after="80" w:line="240" w:lineRule="auto"/>
        <w:rPr>
          <w:rFonts w:eastAsia="Times New Roman" w:cstheme="minorHAnsi"/>
          <w:lang w:val="en-GB"/>
        </w:rPr>
      </w:pPr>
      <w:r>
        <w:rPr>
          <w:rFonts w:eastAsia="Times New Roman" w:cstheme="minorHAnsi"/>
          <w:lang w:val="en-GB"/>
        </w:rPr>
        <w:t xml:space="preserve">Roemer JE and </w:t>
      </w:r>
      <w:proofErr w:type="spellStart"/>
      <w:r>
        <w:rPr>
          <w:rFonts w:eastAsia="Times New Roman" w:cstheme="minorHAnsi"/>
          <w:lang w:val="en-GB"/>
        </w:rPr>
        <w:t>Trannoy</w:t>
      </w:r>
      <w:proofErr w:type="spellEnd"/>
      <w:r>
        <w:rPr>
          <w:rFonts w:eastAsia="Times New Roman" w:cstheme="minorHAnsi"/>
          <w:lang w:val="en-GB"/>
        </w:rPr>
        <w:t xml:space="preserve"> A. Equality of Opportunity; Cowles Foundation Discussion Paper number 1921, Yale University, New Haven, Connecticut 2013</w:t>
      </w:r>
    </w:p>
    <w:p w14:paraId="472DBA94" w14:textId="542D11D2" w:rsidR="00041C09" w:rsidRDefault="00041C09" w:rsidP="00041C09">
      <w:pPr>
        <w:spacing w:after="80" w:line="240" w:lineRule="auto"/>
        <w:rPr>
          <w:rFonts w:eastAsia="Times New Roman" w:cstheme="minorHAnsi"/>
          <w:smallCaps/>
          <w:lang w:val="en-GB"/>
        </w:rPr>
      </w:pPr>
    </w:p>
    <w:p w14:paraId="3849326B" w14:textId="2A280F74" w:rsidR="007E2189" w:rsidRPr="007E2189" w:rsidRDefault="007E2189" w:rsidP="007E2189">
      <w:pPr>
        <w:tabs>
          <w:tab w:val="left" w:pos="1080"/>
        </w:tabs>
        <w:autoSpaceDE w:val="0"/>
        <w:autoSpaceDN w:val="0"/>
        <w:adjustRightInd w:val="0"/>
        <w:spacing w:after="80" w:line="240" w:lineRule="auto"/>
        <w:rPr>
          <w:rFonts w:eastAsia="Times New Roman" w:cstheme="minorHAnsi"/>
          <w:b/>
          <w:bCs/>
          <w:lang w:val="en-GB"/>
        </w:rPr>
      </w:pPr>
      <w:r w:rsidRPr="007E2189">
        <w:rPr>
          <w:rFonts w:eastAsia="Times New Roman" w:cstheme="minorHAnsi"/>
          <w:smallCaps/>
          <w:lang w:val="en-GB"/>
        </w:rPr>
        <w:t>Sen, A.K.</w:t>
      </w:r>
      <w:r w:rsidRPr="007E2189">
        <w:rPr>
          <w:rFonts w:eastAsia="Times New Roman" w:cstheme="minorHAnsi"/>
          <w:lang w:val="en-GB"/>
        </w:rPr>
        <w:t xml:space="preserve"> (1992), </w:t>
      </w:r>
      <w:r w:rsidRPr="007E2189">
        <w:rPr>
          <w:rFonts w:eastAsia="Times New Roman" w:cstheme="minorHAnsi"/>
          <w:i/>
          <w:lang w:val="en-GB"/>
        </w:rPr>
        <w:t>Inequality Re-Examined</w:t>
      </w:r>
      <w:r w:rsidRPr="007E2189">
        <w:rPr>
          <w:rFonts w:eastAsia="Times New Roman" w:cstheme="minorHAnsi"/>
          <w:lang w:val="en-GB"/>
        </w:rPr>
        <w:t>, Clarendon Press, Oxford.</w:t>
      </w:r>
    </w:p>
    <w:p w14:paraId="6B1FF435" w14:textId="77777777" w:rsidR="007E2189" w:rsidRPr="007E2189" w:rsidRDefault="007E2189" w:rsidP="007E2189">
      <w:pPr>
        <w:tabs>
          <w:tab w:val="left" w:pos="1080"/>
        </w:tabs>
        <w:spacing w:after="80" w:line="240" w:lineRule="auto"/>
        <w:rPr>
          <w:rFonts w:eastAsia="Times New Roman" w:cstheme="minorHAnsi"/>
          <w:lang w:val="en-GB" w:eastAsia="fr-FR"/>
        </w:rPr>
      </w:pPr>
      <w:r w:rsidRPr="007E2189">
        <w:rPr>
          <w:rFonts w:eastAsia="Times New Roman" w:cstheme="minorHAnsi"/>
          <w:smallCaps/>
          <w:lang w:val="en-GB" w:eastAsia="fr-FR"/>
        </w:rPr>
        <w:t>Sen, A.K.</w:t>
      </w:r>
      <w:r w:rsidRPr="007E2189">
        <w:rPr>
          <w:rFonts w:eastAsia="Times New Roman" w:cstheme="minorHAnsi"/>
          <w:lang w:val="en-GB" w:eastAsia="fr-FR"/>
        </w:rPr>
        <w:t xml:space="preserve"> (1999), </w:t>
      </w:r>
      <w:r w:rsidRPr="007E2189">
        <w:rPr>
          <w:rFonts w:eastAsia="Times New Roman" w:cstheme="minorHAnsi"/>
          <w:i/>
          <w:lang w:val="en-GB" w:eastAsia="fr-FR"/>
        </w:rPr>
        <w:t>Development as freedom</w:t>
      </w:r>
      <w:r w:rsidRPr="007E2189">
        <w:rPr>
          <w:rFonts w:eastAsia="Times New Roman" w:cstheme="minorHAnsi"/>
          <w:lang w:val="en-GB" w:eastAsia="fr-FR"/>
        </w:rPr>
        <w:t xml:space="preserve">, Oxford University Press, Oxford. </w:t>
      </w:r>
    </w:p>
    <w:sectPr w:rsidR="007E2189" w:rsidRPr="007E21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A77FD" w14:textId="77777777" w:rsidR="00A93256" w:rsidRDefault="00A93256" w:rsidP="006D5A78">
      <w:pPr>
        <w:spacing w:after="0" w:line="240" w:lineRule="auto"/>
      </w:pPr>
      <w:r>
        <w:separator/>
      </w:r>
    </w:p>
  </w:endnote>
  <w:endnote w:type="continuationSeparator" w:id="0">
    <w:p w14:paraId="4D2BBD3C" w14:textId="77777777" w:rsidR="00A93256" w:rsidRDefault="00A93256" w:rsidP="006D5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D6BFD" w14:textId="77777777" w:rsidR="00A93256" w:rsidRDefault="00A93256" w:rsidP="006D5A78">
      <w:pPr>
        <w:spacing w:after="0" w:line="240" w:lineRule="auto"/>
      </w:pPr>
      <w:r>
        <w:separator/>
      </w:r>
    </w:p>
  </w:footnote>
  <w:footnote w:type="continuationSeparator" w:id="0">
    <w:p w14:paraId="571993AD" w14:textId="77777777" w:rsidR="00A93256" w:rsidRDefault="00A93256" w:rsidP="006D5A78">
      <w:pPr>
        <w:spacing w:after="0" w:line="240" w:lineRule="auto"/>
      </w:pPr>
      <w:r>
        <w:continuationSeparator/>
      </w:r>
    </w:p>
  </w:footnote>
  <w:footnote w:id="1">
    <w:p w14:paraId="63272228" w14:textId="1CA09F6D" w:rsidR="008863D5" w:rsidRDefault="008863D5">
      <w:pPr>
        <w:pStyle w:val="FootnoteText"/>
      </w:pPr>
      <w:r>
        <w:rPr>
          <w:rStyle w:val="FootnoteReference"/>
        </w:rPr>
        <w:footnoteRef/>
      </w:r>
      <w:r>
        <w:t xml:space="preserve"> Our efforts to read the full book were thwarted by the fact that the publisher Harvard University Press informed us that this book is not for sale to India and returned our payment after first we placed the order.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74C6"/>
    <w:multiLevelType w:val="hybridMultilevel"/>
    <w:tmpl w:val="3376B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4D5988"/>
    <w:multiLevelType w:val="hybridMultilevel"/>
    <w:tmpl w:val="18DC2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F6A3A3F"/>
    <w:multiLevelType w:val="hybridMultilevel"/>
    <w:tmpl w:val="770A1D9A"/>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22372E6"/>
    <w:multiLevelType w:val="multilevel"/>
    <w:tmpl w:val="45786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A29E6"/>
    <w:multiLevelType w:val="hybridMultilevel"/>
    <w:tmpl w:val="3E7EE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2F615E4"/>
    <w:multiLevelType w:val="hybridMultilevel"/>
    <w:tmpl w:val="0A469536"/>
    <w:lvl w:ilvl="0" w:tplc="2AD8EB2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B04188A"/>
    <w:multiLevelType w:val="hybridMultilevel"/>
    <w:tmpl w:val="571656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3NDezMDO2MDS2MDZS0lEKTi0uzszPAymwqAUAb8nQhCwAAAA="/>
  </w:docVars>
  <w:rsids>
    <w:rsidRoot w:val="006131DD"/>
    <w:rsid w:val="00013629"/>
    <w:rsid w:val="00041C09"/>
    <w:rsid w:val="000867A1"/>
    <w:rsid w:val="001A75F7"/>
    <w:rsid w:val="001B2476"/>
    <w:rsid w:val="00200062"/>
    <w:rsid w:val="00267F94"/>
    <w:rsid w:val="002742CB"/>
    <w:rsid w:val="002C02F4"/>
    <w:rsid w:val="002D191E"/>
    <w:rsid w:val="002D210B"/>
    <w:rsid w:val="00310128"/>
    <w:rsid w:val="00315E67"/>
    <w:rsid w:val="00355977"/>
    <w:rsid w:val="003C1520"/>
    <w:rsid w:val="004070E6"/>
    <w:rsid w:val="00412139"/>
    <w:rsid w:val="004C597A"/>
    <w:rsid w:val="004F409D"/>
    <w:rsid w:val="00566680"/>
    <w:rsid w:val="00581EC2"/>
    <w:rsid w:val="005946C1"/>
    <w:rsid w:val="005A588C"/>
    <w:rsid w:val="005E61B5"/>
    <w:rsid w:val="006131DD"/>
    <w:rsid w:val="006B57A7"/>
    <w:rsid w:val="006D5A78"/>
    <w:rsid w:val="006E30E2"/>
    <w:rsid w:val="00702A3C"/>
    <w:rsid w:val="00742D09"/>
    <w:rsid w:val="0079442B"/>
    <w:rsid w:val="007E2189"/>
    <w:rsid w:val="0082180D"/>
    <w:rsid w:val="00826641"/>
    <w:rsid w:val="00833442"/>
    <w:rsid w:val="00834E77"/>
    <w:rsid w:val="00840618"/>
    <w:rsid w:val="0085302D"/>
    <w:rsid w:val="00856439"/>
    <w:rsid w:val="008863D5"/>
    <w:rsid w:val="00891476"/>
    <w:rsid w:val="008916DD"/>
    <w:rsid w:val="00897D37"/>
    <w:rsid w:val="008C65D1"/>
    <w:rsid w:val="008D5408"/>
    <w:rsid w:val="00943AE0"/>
    <w:rsid w:val="00951C85"/>
    <w:rsid w:val="00985F4F"/>
    <w:rsid w:val="009862D6"/>
    <w:rsid w:val="009E2DB2"/>
    <w:rsid w:val="00A44D58"/>
    <w:rsid w:val="00A93256"/>
    <w:rsid w:val="00AA7F75"/>
    <w:rsid w:val="00AB3FC1"/>
    <w:rsid w:val="00AC7FAC"/>
    <w:rsid w:val="00B522E0"/>
    <w:rsid w:val="00B52E8E"/>
    <w:rsid w:val="00B6419B"/>
    <w:rsid w:val="00BD231E"/>
    <w:rsid w:val="00BE21E1"/>
    <w:rsid w:val="00C4355B"/>
    <w:rsid w:val="00C74057"/>
    <w:rsid w:val="00CC3F92"/>
    <w:rsid w:val="00D11829"/>
    <w:rsid w:val="00D55BDC"/>
    <w:rsid w:val="00DD18FD"/>
    <w:rsid w:val="00DF5A5E"/>
    <w:rsid w:val="00E06A90"/>
    <w:rsid w:val="00E12645"/>
    <w:rsid w:val="00E607D2"/>
    <w:rsid w:val="00E93998"/>
    <w:rsid w:val="00EB3A70"/>
    <w:rsid w:val="00F07B2F"/>
    <w:rsid w:val="00F305EE"/>
    <w:rsid w:val="00F418CC"/>
    <w:rsid w:val="00FA1560"/>
    <w:rsid w:val="00FF22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8CEA"/>
  <w15:chartTrackingRefBased/>
  <w15:docId w15:val="{20203A9F-1778-4E76-93AC-EBFDBF89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C09"/>
  </w:style>
  <w:style w:type="paragraph" w:styleId="Heading3">
    <w:name w:val="heading 3"/>
    <w:basedOn w:val="Normal"/>
    <w:link w:val="Heading3Char"/>
    <w:uiPriority w:val="9"/>
    <w:qFormat/>
    <w:rsid w:val="002D210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1DD"/>
    <w:pPr>
      <w:ind w:left="720"/>
      <w:contextualSpacing/>
    </w:pPr>
  </w:style>
  <w:style w:type="paragraph" w:styleId="FootnoteText">
    <w:name w:val="footnote text"/>
    <w:basedOn w:val="Normal"/>
    <w:link w:val="FootnoteTextChar"/>
    <w:uiPriority w:val="99"/>
    <w:semiHidden/>
    <w:unhideWhenUsed/>
    <w:rsid w:val="006D5A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5A78"/>
    <w:rPr>
      <w:sz w:val="20"/>
      <w:szCs w:val="20"/>
    </w:rPr>
  </w:style>
  <w:style w:type="character" w:styleId="FootnoteReference">
    <w:name w:val="footnote reference"/>
    <w:basedOn w:val="DefaultParagraphFont"/>
    <w:uiPriority w:val="99"/>
    <w:semiHidden/>
    <w:unhideWhenUsed/>
    <w:rsid w:val="006D5A78"/>
    <w:rPr>
      <w:vertAlign w:val="superscript"/>
    </w:rPr>
  </w:style>
  <w:style w:type="paragraph" w:styleId="NormalWeb">
    <w:name w:val="Normal (Web)"/>
    <w:basedOn w:val="Normal"/>
    <w:uiPriority w:val="99"/>
    <w:semiHidden/>
    <w:unhideWhenUsed/>
    <w:rsid w:val="002C02F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C02F4"/>
    <w:rPr>
      <w:color w:val="0000FF"/>
      <w:u w:val="single"/>
    </w:rPr>
  </w:style>
  <w:style w:type="character" w:styleId="UnresolvedMention">
    <w:name w:val="Unresolved Mention"/>
    <w:basedOn w:val="DefaultParagraphFont"/>
    <w:uiPriority w:val="99"/>
    <w:semiHidden/>
    <w:unhideWhenUsed/>
    <w:rsid w:val="00B52E8E"/>
    <w:rPr>
      <w:color w:val="605E5C"/>
      <w:shd w:val="clear" w:color="auto" w:fill="E1DFDD"/>
    </w:rPr>
  </w:style>
  <w:style w:type="character" w:customStyle="1" w:styleId="Heading3Char">
    <w:name w:val="Heading 3 Char"/>
    <w:basedOn w:val="DefaultParagraphFont"/>
    <w:link w:val="Heading3"/>
    <w:uiPriority w:val="9"/>
    <w:rsid w:val="002D210B"/>
    <w:rPr>
      <w:rFonts w:ascii="Times New Roman" w:eastAsia="Times New Roman" w:hAnsi="Times New Roman" w:cs="Times New Roman"/>
      <w:b/>
      <w:bCs/>
      <w:sz w:val="27"/>
      <w:szCs w:val="27"/>
      <w:lang w:eastAsia="en-IN"/>
    </w:rPr>
  </w:style>
  <w:style w:type="character" w:styleId="HTMLCite">
    <w:name w:val="HTML Cite"/>
    <w:basedOn w:val="DefaultParagraphFont"/>
    <w:uiPriority w:val="99"/>
    <w:semiHidden/>
    <w:unhideWhenUsed/>
    <w:rsid w:val="002D210B"/>
    <w:rPr>
      <w:i/>
      <w:iCs/>
    </w:rPr>
  </w:style>
  <w:style w:type="paragraph" w:customStyle="1" w:styleId="action-menu-item">
    <w:name w:val="action-menu-item"/>
    <w:basedOn w:val="Normal"/>
    <w:rsid w:val="002D210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02077">
      <w:bodyDiv w:val="1"/>
      <w:marLeft w:val="0"/>
      <w:marRight w:val="0"/>
      <w:marTop w:val="0"/>
      <w:marBottom w:val="0"/>
      <w:divBdr>
        <w:top w:val="none" w:sz="0" w:space="0" w:color="auto"/>
        <w:left w:val="none" w:sz="0" w:space="0" w:color="auto"/>
        <w:bottom w:val="none" w:sz="0" w:space="0" w:color="auto"/>
        <w:right w:val="none" w:sz="0" w:space="0" w:color="auto"/>
      </w:divBdr>
      <w:divsChild>
        <w:div w:id="1815366582">
          <w:marLeft w:val="0"/>
          <w:marRight w:val="0"/>
          <w:marTop w:val="0"/>
          <w:marBottom w:val="0"/>
          <w:divBdr>
            <w:top w:val="none" w:sz="0" w:space="0" w:color="auto"/>
            <w:left w:val="none" w:sz="0" w:space="0" w:color="auto"/>
            <w:bottom w:val="none" w:sz="0" w:space="0" w:color="auto"/>
            <w:right w:val="none" w:sz="0" w:space="0" w:color="auto"/>
          </w:divBdr>
          <w:divsChild>
            <w:div w:id="408188419">
              <w:marLeft w:val="0"/>
              <w:marRight w:val="0"/>
              <w:marTop w:val="0"/>
              <w:marBottom w:val="0"/>
              <w:divBdr>
                <w:top w:val="none" w:sz="0" w:space="0" w:color="auto"/>
                <w:left w:val="none" w:sz="0" w:space="0" w:color="auto"/>
                <w:bottom w:val="none" w:sz="0" w:space="0" w:color="auto"/>
                <w:right w:val="none" w:sz="0" w:space="0" w:color="auto"/>
              </w:divBdr>
              <w:divsChild>
                <w:div w:id="1258976822">
                  <w:marLeft w:val="45"/>
                  <w:marRight w:val="45"/>
                  <w:marTop w:val="15"/>
                  <w:marBottom w:val="0"/>
                  <w:divBdr>
                    <w:top w:val="none" w:sz="0" w:space="0" w:color="auto"/>
                    <w:left w:val="none" w:sz="0" w:space="0" w:color="auto"/>
                    <w:bottom w:val="none" w:sz="0" w:space="0" w:color="auto"/>
                    <w:right w:val="none" w:sz="0" w:space="0" w:color="auto"/>
                  </w:divBdr>
                  <w:divsChild>
                    <w:div w:id="14534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5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ce.org/fileadmin/DAM/env/esd/EGC/Relevant%20materials/ADFCAPABILITYARTICLE.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1C674-D36E-4DBE-9363-03F27A6FB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9</Pages>
  <Words>4091</Words>
  <Characters>23322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hp99</dc:creator>
  <cp:keywords/>
  <dc:description/>
  <cp:lastModifiedBy>hp99</cp:lastModifiedBy>
  <cp:revision>29</cp:revision>
  <dcterms:created xsi:type="dcterms:W3CDTF">2018-08-15T09:08:00Z</dcterms:created>
  <dcterms:modified xsi:type="dcterms:W3CDTF">2018-08-22T08:49:00Z</dcterms:modified>
</cp:coreProperties>
</file>